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CE" w:rsidRPr="001106CD" w:rsidRDefault="001704CE">
      <w:pPr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Flemings_LogoTag" style="position:absolute;margin-left:148.05pt;margin-top:-71.8pt;width:171pt;height:108.5pt;z-index:-251658240;visibility:visible">
            <v:imagedata r:id="rId7" o:title=""/>
          </v:shape>
        </w:pict>
      </w:r>
    </w:p>
    <w:p w:rsidR="001704CE" w:rsidRPr="001106CD" w:rsidRDefault="001704CE">
      <w:pPr>
        <w:rPr>
          <w:rFonts w:ascii="Arial" w:hAnsi="Arial" w:cs="Arial"/>
          <w:b/>
        </w:rPr>
      </w:pPr>
    </w:p>
    <w:p w:rsidR="001704CE" w:rsidRPr="001106CD" w:rsidRDefault="001704CE">
      <w:pPr>
        <w:rPr>
          <w:rFonts w:ascii="Arial" w:hAnsi="Arial" w:cs="Arial"/>
          <w:b/>
        </w:rPr>
      </w:pPr>
    </w:p>
    <w:p w:rsidR="001704CE" w:rsidRPr="00B43352" w:rsidRDefault="001704CE">
      <w:pPr>
        <w:rPr>
          <w:rFonts w:ascii="Arial" w:hAnsi="Arial" w:cs="Arial"/>
          <w:b/>
          <w:sz w:val="22"/>
          <w:szCs w:val="22"/>
        </w:rPr>
      </w:pPr>
      <w:r w:rsidRPr="00B43352">
        <w:rPr>
          <w:rFonts w:ascii="Arial" w:hAnsi="Arial" w:cs="Arial"/>
          <w:b/>
          <w:sz w:val="22"/>
          <w:szCs w:val="22"/>
        </w:rPr>
        <w:t>FOR IMMEDIATE RELEASE</w:t>
      </w:r>
    </w:p>
    <w:p w:rsidR="001704CE" w:rsidRPr="00B43352" w:rsidRDefault="001704CE">
      <w:pPr>
        <w:rPr>
          <w:rFonts w:ascii="Arial" w:hAnsi="Arial" w:cs="Arial"/>
          <w:sz w:val="22"/>
          <w:szCs w:val="22"/>
        </w:rPr>
      </w:pPr>
    </w:p>
    <w:p w:rsidR="001704CE" w:rsidRPr="00B43352" w:rsidRDefault="001704CE" w:rsidP="00A95AC0">
      <w:pPr>
        <w:pStyle w:val="TableofFigures1"/>
        <w:rPr>
          <w:rFonts w:ascii="Arial" w:hAnsi="Arial" w:cs="Arial"/>
          <w:sz w:val="22"/>
          <w:szCs w:val="22"/>
        </w:rPr>
      </w:pPr>
      <w:r w:rsidRPr="00B43352">
        <w:rPr>
          <w:rFonts w:ascii="Arial" w:hAnsi="Arial" w:cs="Arial"/>
          <w:sz w:val="22"/>
          <w:szCs w:val="22"/>
        </w:rPr>
        <w:t xml:space="preserve">Contact:  </w:t>
      </w:r>
      <w:r w:rsidRPr="00B433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Larisa Kupris</w:t>
      </w:r>
      <w:r w:rsidRPr="00B433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i/>
          <w:sz w:val="22"/>
          <w:szCs w:val="22"/>
        </w:rPr>
        <w:t xml:space="preserve">Regan Communications Group </w:t>
      </w:r>
    </w:p>
    <w:p w:rsidR="001704CE" w:rsidRPr="00B43352" w:rsidRDefault="00170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401/351-8855</w:t>
      </w:r>
    </w:p>
    <w:p w:rsidR="001704CE" w:rsidRPr="001106CD" w:rsidRDefault="001704CE" w:rsidP="00F06476">
      <w:pPr>
        <w:rPr>
          <w:rFonts w:ascii="Arial" w:hAnsi="Arial" w:cs="Arial"/>
        </w:rPr>
      </w:pPr>
      <w:r w:rsidRPr="001106CD">
        <w:rPr>
          <w:rFonts w:ascii="Arial" w:hAnsi="Arial" w:cs="Arial"/>
        </w:rPr>
        <w:tab/>
      </w:r>
      <w:r w:rsidRPr="001106CD">
        <w:rPr>
          <w:rFonts w:ascii="Arial" w:hAnsi="Arial" w:cs="Arial"/>
        </w:rPr>
        <w:tab/>
      </w:r>
    </w:p>
    <w:p w:rsidR="001704CE" w:rsidRPr="00881B7C" w:rsidRDefault="001704CE" w:rsidP="00881B7C">
      <w:pPr>
        <w:contextualSpacing/>
        <w:jc w:val="center"/>
        <w:rPr>
          <w:rFonts w:ascii="Arial" w:hAnsi="Arial" w:cs="Arial"/>
          <w:b/>
          <w:i/>
          <w:sz w:val="32"/>
          <w:szCs w:val="40"/>
        </w:rPr>
      </w:pPr>
      <w:r w:rsidRPr="00881B7C">
        <w:rPr>
          <w:rFonts w:ascii="Arial" w:hAnsi="Arial" w:cs="Arial"/>
          <w:b/>
          <w:i/>
          <w:sz w:val="32"/>
          <w:szCs w:val="40"/>
        </w:rPr>
        <w:t>Fleming’s Prime Steakhouse &amp; Wine Bar</w:t>
      </w:r>
    </w:p>
    <w:p w:rsidR="001704CE" w:rsidRPr="00881B7C" w:rsidRDefault="001704CE" w:rsidP="00881B7C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81B7C">
        <w:rPr>
          <w:rFonts w:ascii="Arial" w:hAnsi="Arial" w:cs="Arial"/>
          <w:b/>
          <w:sz w:val="32"/>
          <w:szCs w:val="32"/>
        </w:rPr>
        <w:t xml:space="preserve">Honored By </w:t>
      </w:r>
      <w:r w:rsidRPr="00881B7C">
        <w:rPr>
          <w:rFonts w:ascii="Arial" w:hAnsi="Arial" w:cs="Arial"/>
          <w:b/>
          <w:i/>
          <w:sz w:val="32"/>
          <w:szCs w:val="32"/>
        </w:rPr>
        <w:t>Wine Spectator</w:t>
      </w:r>
      <w:r w:rsidRPr="00881B7C">
        <w:rPr>
          <w:rFonts w:ascii="Arial" w:hAnsi="Arial" w:cs="Arial"/>
          <w:b/>
          <w:sz w:val="32"/>
          <w:szCs w:val="32"/>
        </w:rPr>
        <w:t xml:space="preserve"> Magazine</w:t>
      </w:r>
    </w:p>
    <w:p w:rsidR="001704CE" w:rsidRPr="00881B7C" w:rsidRDefault="001704CE" w:rsidP="00881B7C">
      <w:pPr>
        <w:contextualSpacing/>
        <w:jc w:val="center"/>
        <w:rPr>
          <w:rFonts w:ascii="Arial" w:hAnsi="Arial" w:cs="Arial"/>
          <w:i/>
        </w:rPr>
      </w:pPr>
      <w:r w:rsidRPr="00881B7C">
        <w:rPr>
          <w:rFonts w:ascii="Arial" w:hAnsi="Arial" w:cs="Arial"/>
          <w:i/>
        </w:rPr>
        <w:t>All 64 Restaurants Recognized with Awards of Excellence</w:t>
      </w:r>
    </w:p>
    <w:p w:rsidR="001704CE" w:rsidRPr="001106CD" w:rsidRDefault="001704CE">
      <w:pPr>
        <w:rPr>
          <w:rFonts w:ascii="Arial" w:hAnsi="Arial" w:cs="Arial"/>
        </w:rPr>
      </w:pPr>
    </w:p>
    <w:p w:rsidR="001704CE" w:rsidRPr="00BA0B43" w:rsidRDefault="001704CE" w:rsidP="00EF7172">
      <w:pPr>
        <w:spacing w:line="360" w:lineRule="auto"/>
        <w:rPr>
          <w:rFonts w:ascii="Arial" w:hAnsi="Arial" w:cs="Arial"/>
          <w:sz w:val="22"/>
          <w:szCs w:val="22"/>
        </w:rPr>
      </w:pPr>
      <w:r w:rsidRPr="001106CD">
        <w:rPr>
          <w:rFonts w:ascii="Arial" w:hAnsi="Arial" w:cs="Arial"/>
        </w:rPr>
        <w:tab/>
      </w:r>
      <w:r>
        <w:rPr>
          <w:rFonts w:ascii="Arial" w:hAnsi="Arial" w:cs="Arial"/>
          <w:b/>
          <w:sz w:val="22"/>
          <w:szCs w:val="22"/>
        </w:rPr>
        <w:t>Providence, Rhode Island</w:t>
      </w:r>
      <w:r w:rsidRPr="00BA0B4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September 6, </w:t>
      </w:r>
      <w:r w:rsidRPr="00BA0B43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11</w:t>
      </w:r>
      <w:r w:rsidRPr="00BA0B43">
        <w:rPr>
          <w:rFonts w:ascii="Arial" w:hAnsi="Arial" w:cs="Arial"/>
          <w:sz w:val="22"/>
          <w:szCs w:val="22"/>
        </w:rPr>
        <w:t xml:space="preserve"> – </w:t>
      </w:r>
      <w:r w:rsidRPr="00BA0B43">
        <w:rPr>
          <w:rFonts w:ascii="Arial" w:hAnsi="Arial" w:cs="Arial"/>
          <w:b/>
          <w:i/>
          <w:sz w:val="22"/>
          <w:szCs w:val="22"/>
        </w:rPr>
        <w:t>Wine Spectator</w:t>
      </w:r>
      <w:r w:rsidRPr="00BA0B43">
        <w:rPr>
          <w:rFonts w:ascii="Arial" w:hAnsi="Arial" w:cs="Arial"/>
          <w:b/>
          <w:sz w:val="22"/>
          <w:szCs w:val="22"/>
        </w:rPr>
        <w:t xml:space="preserve"> </w:t>
      </w:r>
      <w:r w:rsidRPr="00BA0B43">
        <w:rPr>
          <w:rFonts w:ascii="Arial" w:hAnsi="Arial" w:cs="Arial"/>
          <w:sz w:val="22"/>
          <w:szCs w:val="22"/>
        </w:rPr>
        <w:t>magazine</w:t>
      </w:r>
      <w:r w:rsidRPr="00BA0B43">
        <w:rPr>
          <w:rFonts w:ascii="Arial" w:hAnsi="Arial" w:cs="Arial"/>
          <w:b/>
          <w:sz w:val="22"/>
          <w:szCs w:val="22"/>
        </w:rPr>
        <w:t xml:space="preserve"> </w:t>
      </w:r>
      <w:r w:rsidRPr="00BA0B43">
        <w:rPr>
          <w:rFonts w:ascii="Arial" w:hAnsi="Arial" w:cs="Arial"/>
          <w:sz w:val="22"/>
          <w:szCs w:val="22"/>
        </w:rPr>
        <w:t xml:space="preserve">has recognized </w:t>
      </w:r>
      <w:r w:rsidRPr="00BA0B43">
        <w:rPr>
          <w:rFonts w:ascii="Arial" w:hAnsi="Arial" w:cs="Arial"/>
          <w:b/>
          <w:i/>
          <w:sz w:val="22"/>
          <w:szCs w:val="22"/>
        </w:rPr>
        <w:t>Fleming’s Prime Steakhouse &amp; Wine Bar</w:t>
      </w:r>
      <w:r w:rsidRPr="00BA0B43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>64</w:t>
      </w:r>
      <w:r w:rsidRPr="00BA0B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(one for every restaurant) </w:t>
      </w:r>
      <w:r w:rsidRPr="00BA0B43">
        <w:rPr>
          <w:rFonts w:ascii="Arial" w:hAnsi="Arial" w:cs="Arial"/>
          <w:sz w:val="22"/>
          <w:szCs w:val="22"/>
        </w:rPr>
        <w:t>of its coveted Awards of Excellence. The August 31, 20</w:t>
      </w:r>
      <w:r>
        <w:rPr>
          <w:rFonts w:ascii="Arial" w:hAnsi="Arial" w:cs="Arial"/>
          <w:sz w:val="22"/>
          <w:szCs w:val="22"/>
        </w:rPr>
        <w:t>11</w:t>
      </w:r>
      <w:r w:rsidRPr="00BA0B43">
        <w:rPr>
          <w:rFonts w:ascii="Arial" w:hAnsi="Arial" w:cs="Arial"/>
          <w:sz w:val="22"/>
          <w:szCs w:val="22"/>
        </w:rPr>
        <w:t xml:space="preserve"> issue, announcing the annual awards, is considered to be the definitive guide to the best restaurants in the world for wine.</w:t>
      </w:r>
    </w:p>
    <w:p w:rsidR="001704CE" w:rsidRPr="00D15709" w:rsidRDefault="001704CE" w:rsidP="00EF7172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BA0B43">
        <w:rPr>
          <w:rFonts w:ascii="Arial" w:hAnsi="Arial" w:cs="Arial"/>
          <w:sz w:val="22"/>
          <w:szCs w:val="22"/>
        </w:rPr>
        <w:tab/>
        <w:t xml:space="preserve">The Awards of Excellence are given by the </w:t>
      </w:r>
      <w:r w:rsidRPr="00BA0B43">
        <w:rPr>
          <w:rFonts w:ascii="Arial" w:hAnsi="Arial" w:cs="Arial"/>
          <w:i/>
          <w:sz w:val="22"/>
          <w:szCs w:val="22"/>
        </w:rPr>
        <w:t>Wine Spectator’s</w:t>
      </w:r>
      <w:r w:rsidRPr="00BA0B43">
        <w:rPr>
          <w:rFonts w:ascii="Arial" w:hAnsi="Arial" w:cs="Arial"/>
          <w:sz w:val="22"/>
          <w:szCs w:val="22"/>
        </w:rPr>
        <w:t xml:space="preserve"> judging panel of wine experts, connoisseurs, and editors and are based on “a well-chosen selection of quality producers, along with a thematic match to the menu in both price and style.”</w:t>
      </w:r>
    </w:p>
    <w:p w:rsidR="001704CE" w:rsidRPr="00BA0B43" w:rsidRDefault="001704CE" w:rsidP="00EF7172">
      <w:pPr>
        <w:pStyle w:val="BodyTextIndent"/>
        <w:spacing w:line="348" w:lineRule="auto"/>
        <w:rPr>
          <w:rFonts w:cs="Arial"/>
          <w:sz w:val="22"/>
          <w:szCs w:val="22"/>
        </w:rPr>
      </w:pPr>
      <w:r w:rsidRPr="00BA0B43">
        <w:rPr>
          <w:rFonts w:cs="Arial"/>
          <w:sz w:val="22"/>
          <w:szCs w:val="22"/>
        </w:rPr>
        <w:t>“The Awards of Excellence reflect our continued commitment to wine and we’re honored to receive them once again,” says</w:t>
      </w:r>
      <w:r w:rsidRPr="00BA0B43">
        <w:rPr>
          <w:rFonts w:cs="Arial"/>
          <w:b/>
          <w:i/>
          <w:sz w:val="22"/>
          <w:szCs w:val="22"/>
        </w:rPr>
        <w:t xml:space="preserve"> Fleming’s</w:t>
      </w:r>
      <w:r w:rsidRPr="00BA0B43">
        <w:rPr>
          <w:rFonts w:cs="Arial"/>
          <w:sz w:val="22"/>
          <w:szCs w:val="22"/>
        </w:rPr>
        <w:t xml:space="preserve"> Director of Wine</w:t>
      </w:r>
      <w:r>
        <w:rPr>
          <w:rFonts w:cs="Arial"/>
          <w:sz w:val="22"/>
          <w:szCs w:val="22"/>
        </w:rPr>
        <w:t xml:space="preserve"> Maeve Pesquera</w:t>
      </w:r>
      <w:r w:rsidRPr="00BA0B43">
        <w:rPr>
          <w:rFonts w:cs="Arial"/>
          <w:sz w:val="22"/>
          <w:szCs w:val="22"/>
        </w:rPr>
        <w:t>. “</w:t>
      </w:r>
      <w:r>
        <w:rPr>
          <w:rFonts w:cs="Arial"/>
          <w:sz w:val="22"/>
          <w:szCs w:val="22"/>
        </w:rPr>
        <w:t xml:space="preserve">Wine is a huge part of the Fleming’s dining experience, </w:t>
      </w:r>
      <w:r w:rsidRPr="00BA0B43">
        <w:rPr>
          <w:rFonts w:cs="Arial"/>
          <w:sz w:val="22"/>
          <w:szCs w:val="22"/>
        </w:rPr>
        <w:t>and we strive to make recommending or selecting a wine for dinner easy and fun.  Our progressive lists are organized first by grape variet</w:t>
      </w:r>
      <w:r>
        <w:rPr>
          <w:rFonts w:cs="Arial"/>
          <w:sz w:val="22"/>
          <w:szCs w:val="22"/>
        </w:rPr>
        <w:t>al</w:t>
      </w:r>
      <w:r w:rsidRPr="00BA0B43">
        <w:rPr>
          <w:rFonts w:cs="Arial"/>
          <w:sz w:val="22"/>
          <w:szCs w:val="22"/>
        </w:rPr>
        <w:t>, then by flavor intensity within that type.  This gives our guests a road map for making their selections.”</w:t>
      </w:r>
    </w:p>
    <w:p w:rsidR="001704CE" w:rsidRPr="00BA0B43" w:rsidRDefault="001704CE" w:rsidP="00EF7172">
      <w:pPr>
        <w:pStyle w:val="BodyTextIndent"/>
        <w:spacing w:line="348" w:lineRule="auto"/>
        <w:rPr>
          <w:rFonts w:cs="Arial"/>
          <w:color w:val="000000"/>
          <w:sz w:val="22"/>
          <w:szCs w:val="22"/>
        </w:rPr>
      </w:pPr>
      <w:r w:rsidRPr="00BA0B43">
        <w:rPr>
          <w:rFonts w:cs="Arial"/>
          <w:color w:val="000000"/>
          <w:sz w:val="22"/>
          <w:szCs w:val="22"/>
        </w:rPr>
        <w:t>“T</w:t>
      </w:r>
      <w:r w:rsidRPr="00BA0B43">
        <w:rPr>
          <w:rFonts w:cs="Arial"/>
          <w:sz w:val="22"/>
          <w:szCs w:val="22"/>
        </w:rPr>
        <w:t xml:space="preserve">he </w:t>
      </w:r>
      <w:r w:rsidRPr="00BA0B43">
        <w:rPr>
          <w:rFonts w:cs="Arial"/>
          <w:b/>
          <w:i/>
          <w:sz w:val="22"/>
          <w:szCs w:val="22"/>
        </w:rPr>
        <w:t>Fleming’s 100</w:t>
      </w:r>
      <w:r w:rsidRPr="00BA0B4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– our list of 100 wines served by the glass - </w:t>
      </w:r>
      <w:r w:rsidRPr="00BA0B43">
        <w:rPr>
          <w:rFonts w:cs="Arial"/>
          <w:sz w:val="22"/>
          <w:szCs w:val="22"/>
        </w:rPr>
        <w:t>is an honor roll of excellence from around the world</w:t>
      </w:r>
      <w:r w:rsidRPr="00BA0B43">
        <w:rPr>
          <w:rFonts w:cs="Arial"/>
          <w:color w:val="000000"/>
          <w:sz w:val="22"/>
          <w:szCs w:val="22"/>
        </w:rPr>
        <w:t xml:space="preserve">.  We look for balanced wines that complement our food, have a sense of place and are a good value,” says </w:t>
      </w:r>
      <w:r>
        <w:rPr>
          <w:rFonts w:cs="Arial"/>
          <w:color w:val="000000"/>
          <w:sz w:val="22"/>
          <w:szCs w:val="22"/>
        </w:rPr>
        <w:t>Pesquera.</w:t>
      </w:r>
    </w:p>
    <w:p w:rsidR="001704CE" w:rsidRDefault="001704CE" w:rsidP="00E31A47">
      <w:pPr>
        <w:spacing w:line="28" w:lineRule="atLeas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704CE" w:rsidRDefault="001704CE" w:rsidP="00E31A47">
      <w:pPr>
        <w:spacing w:line="28" w:lineRule="atLeas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704CE" w:rsidRPr="00BA0B43" w:rsidRDefault="001704CE" w:rsidP="00E31A47">
      <w:pPr>
        <w:spacing w:line="28" w:lineRule="atLeast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BA0B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About </w:t>
      </w:r>
      <w:r w:rsidRPr="00BA0B43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Fleming’s Prime Steakhouse &amp; Wine Bar </w:t>
      </w:r>
    </w:p>
    <w:p w:rsidR="001704CE" w:rsidRPr="00BA0B43" w:rsidRDefault="001704CE" w:rsidP="00E31A47">
      <w:pPr>
        <w:spacing w:line="28" w:lineRule="atLeast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1704CE" w:rsidRPr="00BA0B43" w:rsidRDefault="001704CE" w:rsidP="00E31A47">
      <w:pPr>
        <w:rPr>
          <w:rFonts w:ascii="Arial" w:hAnsi="Arial" w:cs="Arial"/>
          <w:sz w:val="22"/>
          <w:szCs w:val="22"/>
        </w:rPr>
      </w:pPr>
      <w:r w:rsidRPr="00345BDB">
        <w:rPr>
          <w:rFonts w:ascii="Arial" w:hAnsi="Arial" w:cs="Arial"/>
          <w:sz w:val="22"/>
          <w:szCs w:val="22"/>
        </w:rPr>
        <w:t xml:space="preserve">The nationally acclaimed </w:t>
      </w:r>
      <w:r w:rsidRPr="00345BDB">
        <w:rPr>
          <w:rFonts w:ascii="Arial" w:hAnsi="Arial" w:cs="Arial"/>
          <w:b/>
          <w:bCs/>
          <w:i/>
          <w:iCs/>
          <w:sz w:val="22"/>
          <w:szCs w:val="22"/>
        </w:rPr>
        <w:t>Fleming’s Prime Steakhouse &amp; Wine Bar</w:t>
      </w:r>
      <w:r w:rsidRPr="00345BDB">
        <w:rPr>
          <w:rFonts w:ascii="Arial" w:hAnsi="Arial" w:cs="Arial"/>
          <w:sz w:val="22"/>
          <w:szCs w:val="22"/>
        </w:rPr>
        <w:t xml:space="preserve"> offers the best in steakhouse dining – prime meats and chops, fresh fish and poultry, generous salads and side orders—with a unique wine list known as the Fleming’s 100</w:t>
      </w:r>
      <w:r w:rsidRPr="00345BDB">
        <w:rPr>
          <w:rFonts w:ascii="Arial" w:hAnsi="Arial" w:cs="Arial"/>
          <w:sz w:val="22"/>
          <w:szCs w:val="22"/>
          <w:vertAlign w:val="superscript"/>
        </w:rPr>
        <w:t>TM</w:t>
      </w:r>
      <w:r w:rsidRPr="00345BDB">
        <w:rPr>
          <w:rFonts w:ascii="Arial" w:hAnsi="Arial" w:cs="Arial"/>
          <w:sz w:val="22"/>
          <w:szCs w:val="22"/>
        </w:rPr>
        <w:t xml:space="preserve"> that features 100 wines served by the glass.  </w:t>
      </w:r>
      <w:r w:rsidRPr="00BA0B43">
        <w:rPr>
          <w:rFonts w:ascii="Arial" w:hAnsi="Arial" w:cs="Arial"/>
          <w:b/>
          <w:i/>
          <w:sz w:val="22"/>
          <w:szCs w:val="22"/>
        </w:rPr>
        <w:t xml:space="preserve">Fleming’s </w:t>
      </w:r>
      <w:r w:rsidRPr="00BA0B43">
        <w:rPr>
          <w:rFonts w:ascii="Arial" w:hAnsi="Arial" w:cs="Arial"/>
          <w:sz w:val="22"/>
          <w:szCs w:val="22"/>
        </w:rPr>
        <w:t xml:space="preserve">was launched in </w:t>
      </w:r>
      <w:smartTag w:uri="urn:schemas-microsoft-com:office:smarttags" w:element="State">
        <w:smartTag w:uri="urn:schemas-microsoft-com:office:smarttags" w:element="State">
          <w:r w:rsidRPr="00BA0B43">
            <w:rPr>
              <w:rFonts w:ascii="Arial" w:hAnsi="Arial" w:cs="Arial"/>
              <w:sz w:val="22"/>
              <w:szCs w:val="22"/>
            </w:rPr>
            <w:t>Newport Beach</w:t>
          </w:r>
        </w:smartTag>
        <w:r w:rsidRPr="00BA0B43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A0B43">
            <w:rPr>
              <w:rFonts w:ascii="Arial" w:hAnsi="Arial" w:cs="Arial"/>
              <w:sz w:val="22"/>
              <w:szCs w:val="22"/>
            </w:rPr>
            <w:t>California</w:t>
          </w:r>
        </w:smartTag>
      </w:smartTag>
      <w:r w:rsidRPr="00BA0B43">
        <w:rPr>
          <w:rFonts w:ascii="Arial" w:hAnsi="Arial" w:cs="Arial"/>
          <w:sz w:val="22"/>
          <w:szCs w:val="22"/>
        </w:rPr>
        <w:t xml:space="preserve"> in 1998 by successful restaurant industry veterans Paul Fleming and Bill Allen.  Today there are </w:t>
      </w:r>
      <w:r>
        <w:rPr>
          <w:rFonts w:ascii="Arial" w:hAnsi="Arial" w:cs="Arial"/>
          <w:sz w:val="22"/>
          <w:szCs w:val="22"/>
        </w:rPr>
        <w:t>64</w:t>
      </w:r>
      <w:r w:rsidRPr="00BA0B43">
        <w:rPr>
          <w:rFonts w:ascii="Arial" w:hAnsi="Arial" w:cs="Arial"/>
          <w:sz w:val="22"/>
          <w:szCs w:val="22"/>
        </w:rPr>
        <w:t xml:space="preserve"> restaurants nationwide.  </w:t>
      </w:r>
      <w:r w:rsidRPr="00BA0B43">
        <w:rPr>
          <w:rFonts w:ascii="Arial" w:hAnsi="Arial" w:cs="Arial"/>
          <w:b/>
          <w:bCs/>
          <w:i/>
          <w:iCs/>
          <w:sz w:val="22"/>
          <w:szCs w:val="22"/>
        </w:rPr>
        <w:t>Fleming’s</w:t>
      </w:r>
      <w:r w:rsidRPr="00BA0B43">
        <w:rPr>
          <w:rFonts w:ascii="Arial" w:hAnsi="Arial" w:cs="Arial"/>
          <w:sz w:val="22"/>
          <w:szCs w:val="22"/>
        </w:rPr>
        <w:t xml:space="preserve"> is the recipient of numerous prestigious awards, including </w:t>
      </w:r>
      <w:r w:rsidRPr="00AB2B0A">
        <w:rPr>
          <w:rFonts w:ascii="Arial" w:hAnsi="Arial" w:cs="Arial"/>
          <w:i/>
          <w:sz w:val="22"/>
          <w:szCs w:val="22"/>
        </w:rPr>
        <w:t>Wine Spectator’s</w:t>
      </w:r>
      <w:r>
        <w:rPr>
          <w:rFonts w:ascii="Arial" w:hAnsi="Arial" w:cs="Arial"/>
          <w:sz w:val="22"/>
          <w:szCs w:val="22"/>
        </w:rPr>
        <w:t xml:space="preserve"> annual Awards of Excellence and </w:t>
      </w:r>
      <w:r w:rsidRPr="00BA0B43">
        <w:rPr>
          <w:rFonts w:ascii="Arial" w:hAnsi="Arial" w:cs="Arial"/>
          <w:i/>
          <w:sz w:val="22"/>
          <w:szCs w:val="22"/>
        </w:rPr>
        <w:t>Wine Enthusiast’s</w:t>
      </w:r>
      <w:r w:rsidRPr="00BA0B43">
        <w:rPr>
          <w:rFonts w:ascii="Arial" w:hAnsi="Arial" w:cs="Arial"/>
          <w:sz w:val="22"/>
          <w:szCs w:val="22"/>
        </w:rPr>
        <w:t xml:space="preserve"> annual Awards of Distinction. </w:t>
      </w:r>
    </w:p>
    <w:p w:rsidR="001704CE" w:rsidRPr="00BA0B43" w:rsidRDefault="001704CE" w:rsidP="008928F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04CE" w:rsidRPr="00BA0B43" w:rsidRDefault="001704CE" w:rsidP="00922E31">
      <w:pPr>
        <w:rPr>
          <w:rFonts w:ascii="Arial" w:hAnsi="Arial" w:cs="Arial"/>
          <w:sz w:val="22"/>
          <w:szCs w:val="22"/>
        </w:rPr>
      </w:pPr>
      <w:r w:rsidRPr="00BA0B43">
        <w:rPr>
          <w:rFonts w:ascii="Arial" w:hAnsi="Arial" w:cs="Arial"/>
          <w:sz w:val="22"/>
          <w:szCs w:val="22"/>
        </w:rPr>
        <w:t xml:space="preserve">For more information about </w:t>
      </w:r>
      <w:r w:rsidRPr="00BA0B43">
        <w:rPr>
          <w:rFonts w:ascii="Arial" w:hAnsi="Arial" w:cs="Arial"/>
          <w:b/>
          <w:i/>
          <w:sz w:val="22"/>
          <w:szCs w:val="22"/>
        </w:rPr>
        <w:t>Fleming’s Prime Steakhouse &amp; Wine Bar</w:t>
      </w:r>
      <w:r w:rsidRPr="00BA0B43">
        <w:rPr>
          <w:rFonts w:ascii="Arial" w:hAnsi="Arial" w:cs="Arial"/>
          <w:i/>
          <w:sz w:val="22"/>
          <w:szCs w:val="22"/>
        </w:rPr>
        <w:t xml:space="preserve"> </w:t>
      </w:r>
      <w:r w:rsidRPr="00BA0B43">
        <w:rPr>
          <w:rFonts w:ascii="Arial" w:hAnsi="Arial" w:cs="Arial"/>
          <w:sz w:val="22"/>
          <w:szCs w:val="22"/>
        </w:rPr>
        <w:t xml:space="preserve">and the </w:t>
      </w:r>
      <w:r w:rsidRPr="00BA0B43">
        <w:rPr>
          <w:rFonts w:ascii="Arial" w:hAnsi="Arial" w:cs="Arial"/>
          <w:i/>
          <w:sz w:val="22"/>
          <w:szCs w:val="22"/>
        </w:rPr>
        <w:t xml:space="preserve">Fleming’s </w:t>
      </w:r>
      <w:r w:rsidRPr="00BA0B43">
        <w:rPr>
          <w:rFonts w:ascii="Arial" w:hAnsi="Arial" w:cs="Arial"/>
          <w:sz w:val="22"/>
          <w:szCs w:val="22"/>
        </w:rPr>
        <w:t xml:space="preserve">100, please visit </w:t>
      </w:r>
      <w:r>
        <w:rPr>
          <w:rFonts w:ascii="Arial" w:hAnsi="Arial" w:cs="Arial"/>
          <w:sz w:val="22"/>
          <w:szCs w:val="22"/>
        </w:rPr>
        <w:t>FlemingsSteakhouse.com</w:t>
      </w:r>
      <w:r w:rsidRPr="00BA0B43">
        <w:rPr>
          <w:rFonts w:ascii="Arial" w:hAnsi="Arial" w:cs="Arial"/>
          <w:sz w:val="22"/>
          <w:szCs w:val="22"/>
        </w:rPr>
        <w:t>.</w:t>
      </w:r>
    </w:p>
    <w:p w:rsidR="001704CE" w:rsidRDefault="001704CE" w:rsidP="008928F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04CE" w:rsidRPr="00BA0B43" w:rsidRDefault="001704CE" w:rsidP="008928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BA0B43">
        <w:rPr>
          <w:rFonts w:ascii="Arial" w:hAnsi="Arial" w:cs="Arial"/>
          <w:sz w:val="22"/>
          <w:szCs w:val="22"/>
        </w:rPr>
        <w:t xml:space="preserve"> ###</w:t>
      </w:r>
    </w:p>
    <w:sectPr w:rsidR="001704CE" w:rsidRPr="00BA0B43" w:rsidSect="00BA0B43">
      <w:pgSz w:w="12240" w:h="15840"/>
      <w:pgMar w:top="1440" w:right="1080" w:bottom="36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4CE" w:rsidRDefault="001704CE">
      <w:r>
        <w:separator/>
      </w:r>
    </w:p>
  </w:endnote>
  <w:endnote w:type="continuationSeparator" w:id="0">
    <w:p w:rsidR="001704CE" w:rsidRDefault="0017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4CE" w:rsidRDefault="001704CE">
      <w:r>
        <w:separator/>
      </w:r>
    </w:p>
  </w:footnote>
  <w:footnote w:type="continuationSeparator" w:id="0">
    <w:p w:rsidR="001704CE" w:rsidRDefault="00170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5EF"/>
    <w:multiLevelType w:val="hybridMultilevel"/>
    <w:tmpl w:val="A74A65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0FB"/>
    <w:rsid w:val="00000DE0"/>
    <w:rsid w:val="00004BC6"/>
    <w:rsid w:val="00006F1C"/>
    <w:rsid w:val="00036EBB"/>
    <w:rsid w:val="000521A5"/>
    <w:rsid w:val="00080B01"/>
    <w:rsid w:val="000C580D"/>
    <w:rsid w:val="001106CD"/>
    <w:rsid w:val="00115A22"/>
    <w:rsid w:val="00142765"/>
    <w:rsid w:val="001704CE"/>
    <w:rsid w:val="00194647"/>
    <w:rsid w:val="001A2F69"/>
    <w:rsid w:val="001A3C62"/>
    <w:rsid w:val="001B4CB7"/>
    <w:rsid w:val="001C18B8"/>
    <w:rsid w:val="002139D0"/>
    <w:rsid w:val="0022348F"/>
    <w:rsid w:val="002244CB"/>
    <w:rsid w:val="002524C6"/>
    <w:rsid w:val="00262758"/>
    <w:rsid w:val="002767E4"/>
    <w:rsid w:val="00285027"/>
    <w:rsid w:val="00294948"/>
    <w:rsid w:val="002F7C76"/>
    <w:rsid w:val="0030423E"/>
    <w:rsid w:val="00345BDB"/>
    <w:rsid w:val="00347E7B"/>
    <w:rsid w:val="00350E3E"/>
    <w:rsid w:val="00356C1E"/>
    <w:rsid w:val="00363345"/>
    <w:rsid w:val="004357CB"/>
    <w:rsid w:val="00471F3F"/>
    <w:rsid w:val="004725FE"/>
    <w:rsid w:val="004745CE"/>
    <w:rsid w:val="00477411"/>
    <w:rsid w:val="004805F6"/>
    <w:rsid w:val="00491CE0"/>
    <w:rsid w:val="004A426C"/>
    <w:rsid w:val="004F61D7"/>
    <w:rsid w:val="00507DAB"/>
    <w:rsid w:val="00514C59"/>
    <w:rsid w:val="00517C46"/>
    <w:rsid w:val="00524B97"/>
    <w:rsid w:val="0053334D"/>
    <w:rsid w:val="00567D31"/>
    <w:rsid w:val="0058560B"/>
    <w:rsid w:val="0058593E"/>
    <w:rsid w:val="0058736A"/>
    <w:rsid w:val="005D51EC"/>
    <w:rsid w:val="005D5880"/>
    <w:rsid w:val="00677D58"/>
    <w:rsid w:val="00684AA7"/>
    <w:rsid w:val="006968B5"/>
    <w:rsid w:val="007602D5"/>
    <w:rsid w:val="00763096"/>
    <w:rsid w:val="007768BA"/>
    <w:rsid w:val="007D2364"/>
    <w:rsid w:val="007D7545"/>
    <w:rsid w:val="00813901"/>
    <w:rsid w:val="00832E5D"/>
    <w:rsid w:val="00840208"/>
    <w:rsid w:val="00881B7C"/>
    <w:rsid w:val="00891500"/>
    <w:rsid w:val="008928F8"/>
    <w:rsid w:val="00893ECE"/>
    <w:rsid w:val="008B1D2F"/>
    <w:rsid w:val="00922E31"/>
    <w:rsid w:val="00945F42"/>
    <w:rsid w:val="00953B96"/>
    <w:rsid w:val="009C219E"/>
    <w:rsid w:val="009D1E33"/>
    <w:rsid w:val="009D24E1"/>
    <w:rsid w:val="00A136FE"/>
    <w:rsid w:val="00A1761D"/>
    <w:rsid w:val="00A74909"/>
    <w:rsid w:val="00A76E8C"/>
    <w:rsid w:val="00A95A82"/>
    <w:rsid w:val="00A95AC0"/>
    <w:rsid w:val="00A97355"/>
    <w:rsid w:val="00AB2B0A"/>
    <w:rsid w:val="00AB3979"/>
    <w:rsid w:val="00AF2FD4"/>
    <w:rsid w:val="00B36724"/>
    <w:rsid w:val="00B426ED"/>
    <w:rsid w:val="00B43352"/>
    <w:rsid w:val="00B473F4"/>
    <w:rsid w:val="00B65A7E"/>
    <w:rsid w:val="00BA0B43"/>
    <w:rsid w:val="00BA3BF2"/>
    <w:rsid w:val="00BF3875"/>
    <w:rsid w:val="00C82626"/>
    <w:rsid w:val="00CA496F"/>
    <w:rsid w:val="00CF7E8A"/>
    <w:rsid w:val="00D02185"/>
    <w:rsid w:val="00D050FB"/>
    <w:rsid w:val="00D07CDB"/>
    <w:rsid w:val="00D15709"/>
    <w:rsid w:val="00D240BD"/>
    <w:rsid w:val="00DC43D4"/>
    <w:rsid w:val="00DE5B04"/>
    <w:rsid w:val="00E01D7D"/>
    <w:rsid w:val="00E24EE8"/>
    <w:rsid w:val="00E31A47"/>
    <w:rsid w:val="00E54E3B"/>
    <w:rsid w:val="00E64489"/>
    <w:rsid w:val="00E842C4"/>
    <w:rsid w:val="00E94EE9"/>
    <w:rsid w:val="00EC2D8A"/>
    <w:rsid w:val="00EE7BA8"/>
    <w:rsid w:val="00EF59D2"/>
    <w:rsid w:val="00EF7172"/>
    <w:rsid w:val="00F06476"/>
    <w:rsid w:val="00F35DB1"/>
    <w:rsid w:val="00F513AC"/>
    <w:rsid w:val="00F51A71"/>
    <w:rsid w:val="00F60E83"/>
    <w:rsid w:val="00FA7325"/>
    <w:rsid w:val="00FB0249"/>
    <w:rsid w:val="00FB48BC"/>
    <w:rsid w:val="00FB777D"/>
    <w:rsid w:val="00FD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rFonts w:ascii="Book Antiqua" w:hAnsi="Book Antiqua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11B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firstLine="72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11BF"/>
    <w:rPr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00D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1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00D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1B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A4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BF"/>
    <w:rPr>
      <w:sz w:val="0"/>
      <w:szCs w:val="0"/>
    </w:rPr>
  </w:style>
  <w:style w:type="paragraph" w:customStyle="1" w:styleId="TableofFigures1">
    <w:name w:val="Table of Figures1"/>
    <w:basedOn w:val="Normal"/>
    <w:uiPriority w:val="99"/>
    <w:rsid w:val="00F06476"/>
    <w:rPr>
      <w:rFonts w:ascii="Gill Sans MT" w:hAnsi="Gill Sans MT"/>
      <w:szCs w:val="20"/>
    </w:rPr>
  </w:style>
  <w:style w:type="character" w:styleId="FollowedHyperlink">
    <w:name w:val="FollowedHyperlink"/>
    <w:basedOn w:val="DefaultParagraphFont"/>
    <w:uiPriority w:val="99"/>
    <w:rsid w:val="00BA3BF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346</Words>
  <Characters>1976</Characters>
  <Application>Microsoft Office Outlook</Application>
  <DocSecurity>0</DocSecurity>
  <Lines>0</Lines>
  <Paragraphs>0</Paragraphs>
  <ScaleCrop>false</ScaleCrop>
  <Company>OUTBACK STEAKHOUSE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Office 2004 Test Drive User</dc:creator>
  <cp:keywords/>
  <dc:description/>
  <cp:lastModifiedBy>lkupris</cp:lastModifiedBy>
  <cp:revision>5</cp:revision>
  <cp:lastPrinted>2009-08-14T20:07:00Z</cp:lastPrinted>
  <dcterms:created xsi:type="dcterms:W3CDTF">2011-09-01T13:59:00Z</dcterms:created>
  <dcterms:modified xsi:type="dcterms:W3CDTF">2011-09-01T19:09:00Z</dcterms:modified>
</cp:coreProperties>
</file>