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E1" w:rsidRPr="00D373E1" w:rsidRDefault="00D373E1" w:rsidP="00D373E1">
      <w:pPr>
        <w:spacing w:line="360" w:lineRule="auto"/>
        <w:rPr>
          <w:rFonts w:asciiTheme="minorHAnsi" w:hAnsiTheme="minorHAnsi" w:cstheme="minorHAnsi"/>
          <w:b/>
          <w:sz w:val="28"/>
          <w:szCs w:val="28"/>
        </w:rPr>
      </w:pPr>
      <w:r w:rsidRPr="00D373E1">
        <w:rPr>
          <w:rFonts w:asciiTheme="minorHAnsi" w:hAnsiTheme="minorHAnsi" w:cstheme="minorHAnsi"/>
          <w:b/>
          <w:sz w:val="28"/>
          <w:szCs w:val="28"/>
        </w:rPr>
        <w:t>Et offentlig utdanningsløp</w:t>
      </w:r>
    </w:p>
    <w:p w:rsidR="00D373E1" w:rsidRPr="00D373E1" w:rsidRDefault="00D373E1" w:rsidP="00D373E1">
      <w:pPr>
        <w:spacing w:line="360" w:lineRule="auto"/>
        <w:rPr>
          <w:rFonts w:asciiTheme="minorHAnsi" w:hAnsiTheme="minorHAnsi" w:cstheme="minorHAnsi"/>
          <w:b/>
          <w:sz w:val="24"/>
          <w:szCs w:val="24"/>
        </w:rPr>
      </w:pPr>
    </w:p>
    <w:p w:rsidR="00D373E1" w:rsidRPr="00D373E1" w:rsidRDefault="00D373E1" w:rsidP="00D373E1">
      <w:pPr>
        <w:spacing w:line="360" w:lineRule="auto"/>
        <w:rPr>
          <w:rFonts w:asciiTheme="minorHAnsi" w:hAnsiTheme="minorHAnsi" w:cstheme="minorHAnsi"/>
          <w:sz w:val="24"/>
          <w:szCs w:val="24"/>
        </w:rPr>
      </w:pPr>
      <w:r w:rsidRPr="00D373E1">
        <w:rPr>
          <w:rFonts w:asciiTheme="minorHAnsi" w:hAnsiTheme="minorHAnsi" w:cstheme="minorHAnsi"/>
          <w:sz w:val="24"/>
          <w:szCs w:val="24"/>
        </w:rPr>
        <w:t xml:space="preserve">Et bredt og mangfoldig utdanningsløp har alltid vært et viktig prosjekt for arbeiderbevegelsen. Gjennom en sterk fellesskole og barnehage skal alle barn, uavhengig av bakgrunn og forutsetninger, få de samme mulighetene til å lykkes i livet. Det at alle barn møtes i den samme barnehagen og den samme skolen bygger tillit mellom mennesker i samfunnet vårt. Skolen er et viktig verktøy for å unngå ulikhet og sikre at alle barn skal kunne nå sitt potensiale. </w:t>
      </w:r>
    </w:p>
    <w:p w:rsidR="00D373E1" w:rsidRPr="00D373E1" w:rsidRDefault="00D373E1" w:rsidP="00D373E1">
      <w:pPr>
        <w:spacing w:line="360" w:lineRule="auto"/>
        <w:rPr>
          <w:rFonts w:asciiTheme="minorHAnsi" w:hAnsiTheme="minorHAnsi" w:cstheme="minorHAnsi"/>
          <w:sz w:val="24"/>
          <w:szCs w:val="24"/>
        </w:rPr>
      </w:pPr>
    </w:p>
    <w:p w:rsidR="00D373E1" w:rsidRPr="00D373E1" w:rsidRDefault="00D373E1" w:rsidP="00D373E1">
      <w:pPr>
        <w:spacing w:line="360" w:lineRule="auto"/>
        <w:rPr>
          <w:rFonts w:asciiTheme="minorHAnsi" w:hAnsiTheme="minorHAnsi" w:cstheme="minorHAnsi"/>
          <w:sz w:val="24"/>
          <w:szCs w:val="24"/>
        </w:rPr>
      </w:pPr>
      <w:r w:rsidRPr="00D373E1">
        <w:rPr>
          <w:rFonts w:asciiTheme="minorHAnsi" w:hAnsiTheme="minorHAnsi" w:cstheme="minorHAnsi"/>
          <w:sz w:val="24"/>
          <w:szCs w:val="24"/>
        </w:rPr>
        <w:t>Arbeiderpartiet vil:</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Hindre at skoleeiere skal kunne ta utbytte, og ha en enda strengere kontroll med hvordan skoleeierne bruker datterselskaper for å omgå regelverket.</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konsesjo</w:t>
      </w:r>
      <w:bookmarkStart w:id="0" w:name="_GoBack"/>
      <w:bookmarkEnd w:id="0"/>
      <w:r w:rsidRPr="00D373E1">
        <w:rPr>
          <w:rFonts w:asciiTheme="minorHAnsi" w:hAnsiTheme="minorHAnsi" w:cstheme="minorHAnsi"/>
          <w:sz w:val="24"/>
          <w:szCs w:val="24"/>
        </w:rPr>
        <w:t>ner til privat skoledrift skal være tidsbegrenset, med krav om ny søknadsprosess og mulighet til demokratisk innvirkning.</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kommuner og fylkeskommuner skal ha vetorett mot etablering av privatskoler</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 xml:space="preserve">Utforme en ny privatskolelov der det ikke gis </w:t>
      </w:r>
      <w:proofErr w:type="spellStart"/>
      <w:r w:rsidRPr="00D373E1">
        <w:rPr>
          <w:rFonts w:asciiTheme="minorHAnsi" w:hAnsiTheme="minorHAnsi" w:cstheme="minorHAnsi"/>
          <w:sz w:val="24"/>
          <w:szCs w:val="24"/>
        </w:rPr>
        <w:t>statstøtte</w:t>
      </w:r>
      <w:proofErr w:type="spellEnd"/>
      <w:r w:rsidRPr="00D373E1">
        <w:rPr>
          <w:rFonts w:asciiTheme="minorHAnsi" w:hAnsiTheme="minorHAnsi" w:cstheme="minorHAnsi"/>
          <w:sz w:val="24"/>
          <w:szCs w:val="24"/>
        </w:rPr>
        <w:t xml:space="preserve"> til noen former for kommersielle privatskoler verken med alternativ pedagogikk eller livssyn.</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det bør spesifiseres at forbudet mot å overføre verdier til skolenes eiere også gjelder ved salg.</w:t>
      </w:r>
    </w:p>
    <w:p w:rsidR="00D373E1" w:rsidRPr="00D373E1" w:rsidRDefault="00D373E1" w:rsidP="00D373E1">
      <w:pPr>
        <w:numPr>
          <w:ilvl w:val="0"/>
          <w:numId w:val="1"/>
        </w:numPr>
        <w:spacing w:line="360" w:lineRule="auto"/>
        <w:rPr>
          <w:rFonts w:asciiTheme="minorHAnsi" w:hAnsiTheme="minorHAnsi" w:cstheme="minorHAnsi"/>
          <w:sz w:val="24"/>
          <w:szCs w:val="24"/>
        </w:rPr>
      </w:pPr>
      <w:r w:rsidRPr="00D373E1">
        <w:rPr>
          <w:rFonts w:asciiTheme="minorHAnsi" w:hAnsiTheme="minorHAnsi" w:cstheme="minorHAnsi"/>
          <w:sz w:val="24"/>
          <w:szCs w:val="24"/>
        </w:rPr>
        <w:t>Styrke Utdanningsdirektoratet, gjennom tilstrekkelige ressurser til rådighet, slik at de kan gjennomføre et effektivt tilsyn med de private skolene</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brudd på lov og regelverk må håndheves strengere og følges av bøter og mer effektive sanksjoner</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Utforme en ny privatskolelov</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Ikke gi statsstøtte til skoler med alternativt pedagogisk opplegg eller livssyn</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Innføre en lov som hindrer barnehageeiere å ta ut utbytte og profitt</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målet om profittfrie barnehager slås fast i barnehagens formålsparagraf</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Sette klare krav i lovverket til eierform og selskapsorganisering, for eksempel etter dansk modell for selveiende institusjoner</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kommunene sier nei til ytterligere privatisering av offentlige barnehager</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 xml:space="preserve">Vri barnehagefinansiering fra stykkprisfinansiering til budsjettstyring og </w:t>
      </w:r>
      <w:proofErr w:type="spellStart"/>
      <w:r w:rsidRPr="00D373E1">
        <w:rPr>
          <w:rFonts w:asciiTheme="minorHAnsi" w:hAnsiTheme="minorHAnsi" w:cstheme="minorHAnsi"/>
          <w:sz w:val="24"/>
          <w:szCs w:val="24"/>
        </w:rPr>
        <w:t>tilskuddskontroll</w:t>
      </w:r>
      <w:proofErr w:type="spellEnd"/>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lastRenderedPageBreak/>
        <w:t>At kommunene jobber aktivt for å ta tilbake de offentlige barnehagene i privat regi, f.eks. når en kontrakt med en privat barnehage går ut</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Åpne opp i lovverket for at kommunene får større myndighet til å styre barnehagene de finansierer, uavhengig av eierform</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At kommunene må kunne vedta barnehagestruktur med hensyn til lokalisering, kapasitet og opptak uavhengig av eierform</w:t>
      </w:r>
    </w:p>
    <w:p w:rsidR="00D373E1" w:rsidRPr="00D373E1" w:rsidRDefault="00D373E1" w:rsidP="00D373E1">
      <w:pPr>
        <w:numPr>
          <w:ilvl w:val="0"/>
          <w:numId w:val="2"/>
        </w:numPr>
        <w:spacing w:line="360" w:lineRule="auto"/>
        <w:rPr>
          <w:rFonts w:asciiTheme="minorHAnsi" w:hAnsiTheme="minorHAnsi" w:cstheme="minorHAnsi"/>
          <w:sz w:val="24"/>
          <w:szCs w:val="24"/>
        </w:rPr>
      </w:pPr>
      <w:r w:rsidRPr="00D373E1">
        <w:rPr>
          <w:rFonts w:asciiTheme="minorHAnsi" w:hAnsiTheme="minorHAnsi" w:cstheme="minorHAnsi"/>
          <w:sz w:val="24"/>
          <w:szCs w:val="24"/>
        </w:rPr>
        <w:t>Alle private barnehager skal tilslutte seg nasjonale tariffavtaler som regulerer de ansattes rettigheter</w:t>
      </w:r>
    </w:p>
    <w:p w:rsidR="00493499" w:rsidRDefault="00D373E1"/>
    <w:sectPr w:rsidR="00493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6753C"/>
    <w:multiLevelType w:val="multilevel"/>
    <w:tmpl w:val="953A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BA5427"/>
    <w:multiLevelType w:val="multilevel"/>
    <w:tmpl w:val="6AD0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E1"/>
    <w:rsid w:val="005A277E"/>
    <w:rsid w:val="00B0378D"/>
    <w:rsid w:val="00BB64CB"/>
    <w:rsid w:val="00D373E1"/>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6319"/>
  <w15:chartTrackingRefBased/>
  <w15:docId w15:val="{D60A417B-CA01-4F76-87EB-20C00C1A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3E1"/>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2020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2019-01-14T10:05:00Z</dcterms:created>
  <dcterms:modified xsi:type="dcterms:W3CDTF">2019-01-14T10:06:00Z</dcterms:modified>
</cp:coreProperties>
</file>