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I levekårssonen Solheim nord er 10.7 % av boligmassen kommunale leiligheter. Til sammenligning er snittet i Bergen er 2.6 %.  Det er ytterligere problematisk at disse er fordelt i et svært fortettet geografisk område. </w:t>
      </w:r>
    </w:p>
    <w:p w:rsidR="00000000" w:rsidDel="00000000" w:rsidP="00000000" w:rsidRDefault="00000000" w:rsidRPr="00000000" w14:paraId="00000003">
      <w:pPr>
        <w:shd w:fill="ffffff" w:val="clear"/>
        <w:rPr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Skal vi få til et inkluderende nærmiljø på Løvstakksiden er det nødvendig med mer variert bosetning enn det som eksisterer i dag. Det lange og tykke beltet med kommunale boliger på Løvstakksiden står i veien for god språkutvikling, inkludering i nærmiljø og stabilitet for området. </w:t>
      </w:r>
    </w:p>
    <w:p w:rsidR="00000000" w:rsidDel="00000000" w:rsidP="00000000" w:rsidRDefault="00000000" w:rsidRPr="00000000" w14:paraId="00000005">
      <w:pPr>
        <w:shd w:fill="ffffff" w:val="clear"/>
        <w:rPr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I tillegg til å utvide leiligheter til større enheter, bør deler av boligmassen reduseres ved salg av leiligheter eller leilighetskompleks. </w:t>
      </w:r>
    </w:p>
    <w:p w:rsidR="00000000" w:rsidDel="00000000" w:rsidP="00000000" w:rsidRDefault="00000000" w:rsidRPr="00000000" w14:paraId="00000007">
      <w:pPr>
        <w:shd w:fill="ffffff" w:val="clear"/>
        <w:rPr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Forslag:</w:t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color w:val="313131"/>
          <w:rtl w:val="0"/>
        </w:rPr>
        <w:t xml:space="preserve">Utrede hvordan hvordan et salg av deler av de kommunale boligene kan gjennomføres for å ivareta bomiljø og eksisterende leietakere.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