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79F7" w:rsidRPr="001C79F7" w:rsidRDefault="001C79F7" w:rsidP="001C79F7">
      <w:pPr>
        <w:autoSpaceDE w:val="0"/>
        <w:autoSpaceDN w:val="0"/>
        <w:adjustRightInd w:val="0"/>
        <w:spacing w:after="0" w:line="240" w:lineRule="auto"/>
        <w:rPr>
          <w:rFonts w:ascii="Arial" w:hAnsi="Arial" w:cs="Arial"/>
          <w:b/>
          <w:bCs/>
          <w:sz w:val="26"/>
          <w:szCs w:val="26"/>
        </w:rPr>
      </w:pPr>
      <w:r w:rsidRPr="001C79F7">
        <w:rPr>
          <w:rFonts w:ascii="Arial" w:hAnsi="Arial" w:cs="Arial"/>
          <w:b/>
          <w:bCs/>
          <w:sz w:val="26"/>
          <w:szCs w:val="26"/>
        </w:rPr>
        <w:t>Notat</w:t>
      </w:r>
    </w:p>
    <w:p w:rsidR="001C79F7" w:rsidRPr="001C79F7" w:rsidRDefault="001C79F7" w:rsidP="001C79F7">
      <w:pPr>
        <w:autoSpaceDE w:val="0"/>
        <w:autoSpaceDN w:val="0"/>
        <w:adjustRightInd w:val="0"/>
        <w:spacing w:after="0" w:line="240" w:lineRule="auto"/>
        <w:rPr>
          <w:rFonts w:ascii="Arial" w:hAnsi="Arial" w:cs="Arial"/>
          <w:b/>
          <w:bCs/>
          <w:sz w:val="26"/>
          <w:szCs w:val="26"/>
        </w:rPr>
      </w:pPr>
    </w:p>
    <w:p w:rsidR="001C79F7" w:rsidRPr="001C79F7" w:rsidRDefault="001C79F7" w:rsidP="001C79F7">
      <w:pPr>
        <w:autoSpaceDE w:val="0"/>
        <w:autoSpaceDN w:val="0"/>
        <w:adjustRightInd w:val="0"/>
        <w:spacing w:after="0" w:line="240" w:lineRule="auto"/>
        <w:rPr>
          <w:rFonts w:ascii="Arial" w:hAnsi="Arial" w:cs="Arial"/>
          <w:b/>
          <w:bCs/>
          <w:sz w:val="26"/>
          <w:szCs w:val="26"/>
        </w:rPr>
      </w:pPr>
      <w:r w:rsidRPr="001C79F7">
        <w:rPr>
          <w:rFonts w:ascii="Arial" w:hAnsi="Arial" w:cs="Arial"/>
          <w:b/>
          <w:bCs/>
          <w:sz w:val="26"/>
          <w:szCs w:val="26"/>
        </w:rPr>
        <w:t>Til: Tromsø Arbeiderparti v/nestledere Tove K. Knutsen og Tone Ingebrigtsen.</w:t>
      </w:r>
    </w:p>
    <w:p w:rsidR="001C79F7" w:rsidRPr="001C79F7" w:rsidRDefault="001C79F7" w:rsidP="001C79F7">
      <w:pPr>
        <w:autoSpaceDE w:val="0"/>
        <w:autoSpaceDN w:val="0"/>
        <w:adjustRightInd w:val="0"/>
        <w:spacing w:after="0" w:line="240" w:lineRule="auto"/>
        <w:rPr>
          <w:rFonts w:ascii="Arial" w:hAnsi="Arial" w:cs="Arial"/>
          <w:b/>
          <w:bCs/>
          <w:sz w:val="26"/>
          <w:szCs w:val="26"/>
        </w:rPr>
      </w:pPr>
      <w:r w:rsidRPr="001C79F7">
        <w:rPr>
          <w:rFonts w:ascii="Arial" w:hAnsi="Arial" w:cs="Arial"/>
          <w:b/>
          <w:bCs/>
          <w:sz w:val="26"/>
          <w:szCs w:val="26"/>
        </w:rPr>
        <w:t>Fra: Ap v/organisasjonssjef John Erik Pedersen</w:t>
      </w:r>
    </w:p>
    <w:p w:rsidR="001C79F7" w:rsidRPr="001C79F7" w:rsidRDefault="001C79F7" w:rsidP="001C79F7">
      <w:pPr>
        <w:autoSpaceDE w:val="0"/>
        <w:autoSpaceDN w:val="0"/>
        <w:adjustRightInd w:val="0"/>
        <w:spacing w:after="0" w:line="240" w:lineRule="auto"/>
        <w:rPr>
          <w:rFonts w:ascii="Arial" w:hAnsi="Arial" w:cs="Arial"/>
          <w:b/>
          <w:bCs/>
          <w:sz w:val="26"/>
          <w:szCs w:val="26"/>
        </w:rPr>
      </w:pPr>
      <w:r w:rsidRPr="001C79F7">
        <w:rPr>
          <w:rFonts w:ascii="Arial" w:hAnsi="Arial" w:cs="Arial"/>
          <w:b/>
          <w:bCs/>
          <w:sz w:val="26"/>
          <w:szCs w:val="26"/>
        </w:rPr>
        <w:t>Dato: 27.04.20</w:t>
      </w:r>
      <w:r w:rsidRPr="001C79F7">
        <w:rPr>
          <w:rFonts w:ascii="Arial" w:hAnsi="Arial" w:cs="Arial"/>
          <w:b/>
          <w:bCs/>
          <w:sz w:val="26"/>
          <w:szCs w:val="26"/>
        </w:rPr>
        <w:br/>
        <w:t>Antall sider: 3</w:t>
      </w:r>
    </w:p>
    <w:p w:rsidR="001C79F7" w:rsidRPr="001C79F7" w:rsidRDefault="001C79F7" w:rsidP="001C79F7">
      <w:pPr>
        <w:autoSpaceDE w:val="0"/>
        <w:autoSpaceDN w:val="0"/>
        <w:adjustRightInd w:val="0"/>
        <w:spacing w:after="0" w:line="240" w:lineRule="auto"/>
        <w:rPr>
          <w:rFonts w:ascii="Arial" w:hAnsi="Arial" w:cs="Arial"/>
          <w:b/>
          <w:bCs/>
          <w:sz w:val="26"/>
          <w:szCs w:val="26"/>
        </w:rPr>
      </w:pPr>
    </w:p>
    <w:p w:rsidR="001C79F7" w:rsidRPr="001C79F7" w:rsidRDefault="001C79F7" w:rsidP="001C79F7">
      <w:pPr>
        <w:autoSpaceDE w:val="0"/>
        <w:autoSpaceDN w:val="0"/>
        <w:adjustRightInd w:val="0"/>
        <w:spacing w:after="0" w:line="240" w:lineRule="auto"/>
        <w:rPr>
          <w:rFonts w:ascii="Arial" w:hAnsi="Arial" w:cs="Arial"/>
          <w:b/>
          <w:bCs/>
          <w:sz w:val="26"/>
          <w:szCs w:val="26"/>
        </w:rPr>
      </w:pPr>
      <w:r w:rsidRPr="001C79F7">
        <w:rPr>
          <w:rFonts w:ascii="Arial" w:hAnsi="Arial" w:cs="Arial"/>
          <w:b/>
          <w:bCs/>
          <w:sz w:val="26"/>
          <w:szCs w:val="26"/>
        </w:rPr>
        <w:t>Vedr. møte med medlemmene tirsdag 28.04.20</w:t>
      </w:r>
    </w:p>
    <w:p w:rsidR="001C79F7" w:rsidRPr="001C79F7" w:rsidRDefault="001C79F7" w:rsidP="001C79F7">
      <w:pPr>
        <w:autoSpaceDE w:val="0"/>
        <w:autoSpaceDN w:val="0"/>
        <w:adjustRightInd w:val="0"/>
        <w:spacing w:after="0" w:line="240" w:lineRule="auto"/>
        <w:rPr>
          <w:rFonts w:ascii="Arial" w:hAnsi="Arial" w:cs="Arial"/>
          <w:b/>
          <w:bCs/>
          <w:sz w:val="26"/>
          <w:szCs w:val="26"/>
        </w:rPr>
      </w:pPr>
    </w:p>
    <w:p w:rsidR="001C79F7" w:rsidRPr="001C79F7" w:rsidRDefault="001C79F7" w:rsidP="001C79F7">
      <w:pPr>
        <w:autoSpaceDE w:val="0"/>
        <w:autoSpaceDN w:val="0"/>
        <w:adjustRightInd w:val="0"/>
        <w:spacing w:after="0" w:line="240" w:lineRule="auto"/>
        <w:rPr>
          <w:rFonts w:ascii="Helvetica" w:hAnsi="Helvetica" w:cs="Arial"/>
          <w:sz w:val="24"/>
          <w:szCs w:val="24"/>
        </w:rPr>
      </w:pPr>
      <w:r w:rsidRPr="001C79F7">
        <w:rPr>
          <w:rFonts w:ascii="Helvetica" w:hAnsi="Helvetica" w:cs="Arial"/>
          <w:sz w:val="24"/>
          <w:szCs w:val="24"/>
        </w:rPr>
        <w:t>Viser til henvendelser fra kommunepartiets nestledere søndag 26.04 hvor dere ber Ap sentralt om råd i forbindelse med behandling av sak om reguleringsplaner for Arctic Center i Tromsø. Ap sentralt er bedt om å anbefale møteplattform samt si noe om hvilke habilitetsregler som gjelder i Ap og gi råd til behandlingen.</w:t>
      </w:r>
    </w:p>
    <w:p w:rsidR="001C79F7" w:rsidRPr="001C79F7" w:rsidRDefault="001C79F7" w:rsidP="001C79F7">
      <w:pPr>
        <w:autoSpaceDE w:val="0"/>
        <w:autoSpaceDN w:val="0"/>
        <w:adjustRightInd w:val="0"/>
        <w:spacing w:after="0" w:line="240" w:lineRule="auto"/>
        <w:rPr>
          <w:rFonts w:ascii="Helvetica" w:hAnsi="Helvetica" w:cs="Arial"/>
          <w:sz w:val="24"/>
          <w:szCs w:val="24"/>
        </w:rPr>
      </w:pPr>
    </w:p>
    <w:p w:rsidR="001C79F7" w:rsidRPr="001C79F7" w:rsidRDefault="001C79F7" w:rsidP="001C79F7">
      <w:pPr>
        <w:autoSpaceDE w:val="0"/>
        <w:autoSpaceDN w:val="0"/>
        <w:adjustRightInd w:val="0"/>
        <w:spacing w:after="0" w:line="240" w:lineRule="auto"/>
        <w:rPr>
          <w:rFonts w:ascii="Helvetica" w:hAnsi="Helvetica" w:cs="Arial"/>
          <w:sz w:val="24"/>
          <w:szCs w:val="24"/>
        </w:rPr>
      </w:pPr>
      <w:r w:rsidRPr="001C79F7">
        <w:rPr>
          <w:rFonts w:ascii="Helvetica" w:hAnsi="Helvetica" w:cs="Arial"/>
          <w:sz w:val="24"/>
          <w:szCs w:val="24"/>
        </w:rPr>
        <w:t>Tromsø Arbeiderparti har representantskap som sitt høyeste organ mellom årsmøter, og i saker hvor kommunepartiet ønsker å invitere medlemmene gjennom partiorganisasjon til å være med å fatte vedtak i en sak, er det representan</w:t>
      </w:r>
      <w:r>
        <w:rPr>
          <w:rFonts w:ascii="Helvetica" w:hAnsi="Helvetica" w:cs="Arial"/>
          <w:sz w:val="24"/>
          <w:szCs w:val="24"/>
        </w:rPr>
        <w:t>t</w:t>
      </w:r>
      <w:r w:rsidRPr="001C79F7">
        <w:rPr>
          <w:rFonts w:ascii="Helvetica" w:hAnsi="Helvetica" w:cs="Arial"/>
          <w:sz w:val="24"/>
          <w:szCs w:val="24"/>
        </w:rPr>
        <w:t xml:space="preserve">skapet som er rette forum for det. </w:t>
      </w:r>
      <w:r w:rsidRPr="001C79F7">
        <w:rPr>
          <w:rFonts w:ascii="Helvetica" w:hAnsi="Helvetica" w:cs="Arial"/>
          <w:sz w:val="24"/>
          <w:szCs w:val="24"/>
        </w:rPr>
        <w:br/>
      </w:r>
    </w:p>
    <w:p w:rsidR="001C79F7" w:rsidRPr="001C79F7" w:rsidRDefault="001C79F7" w:rsidP="001C79F7">
      <w:pPr>
        <w:autoSpaceDE w:val="0"/>
        <w:autoSpaceDN w:val="0"/>
        <w:adjustRightInd w:val="0"/>
        <w:spacing w:after="0" w:line="240" w:lineRule="auto"/>
        <w:rPr>
          <w:rFonts w:ascii="Helvetica" w:hAnsi="Helvetica" w:cs="Arial"/>
          <w:sz w:val="24"/>
          <w:szCs w:val="24"/>
        </w:rPr>
      </w:pPr>
      <w:r w:rsidRPr="001C79F7">
        <w:rPr>
          <w:rFonts w:ascii="Helvetica" w:hAnsi="Helvetica" w:cs="Arial"/>
          <w:sz w:val="24"/>
          <w:szCs w:val="24"/>
        </w:rPr>
        <w:t>I Retningslinjer for Arbeiderpartiets kommunepartier § 4 Medlemsmøtet/ representantskapet kan vi blant annet lese følgende:</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br/>
        <w:t>Medlemsmøter eller representantskapsmøter skal holdes så ofte styret bestemmer det, når kommunestyregruppa ber om det, eller når partiavdelinger som representerer minst 2/5 av medlemmene ber om det.</w:t>
      </w:r>
    </w:p>
    <w:p w:rsidR="001C79F7" w:rsidRPr="001C79F7" w:rsidRDefault="001C79F7" w:rsidP="001C79F7">
      <w:pPr>
        <w:autoSpaceDE w:val="0"/>
        <w:autoSpaceDN w:val="0"/>
        <w:adjustRightInd w:val="0"/>
        <w:spacing w:after="0" w:line="240" w:lineRule="auto"/>
        <w:rPr>
          <w:rFonts w:ascii="Helvetica" w:hAnsi="Helvetica" w:cs="Arial"/>
          <w:sz w:val="24"/>
          <w:szCs w:val="24"/>
        </w:rPr>
      </w:pPr>
    </w:p>
    <w:p w:rsidR="001C79F7" w:rsidRPr="001C79F7" w:rsidRDefault="001C79F7" w:rsidP="001C79F7">
      <w:pPr>
        <w:rPr>
          <w:rFonts w:ascii="Helvetica" w:hAnsi="Helvetica" w:cs="Arial"/>
          <w:sz w:val="24"/>
          <w:szCs w:val="24"/>
        </w:rPr>
      </w:pPr>
      <w:r w:rsidRPr="001C79F7">
        <w:rPr>
          <w:rFonts w:ascii="Helvetica" w:hAnsi="Helvetica" w:cs="Arial"/>
          <w:sz w:val="24"/>
          <w:szCs w:val="24"/>
        </w:rPr>
        <w:t xml:space="preserve">I invitasjon bør man gjøre oppmerksom på hvilke habilitetsregler som gjelder og henvise til at det i utgangspunktet er det enkelte medlem selv som må vurdere sin habilitet. Ønsker noen sin habilitet vurdert eller noen ønsker andres habilitet vurdert er det møtet selv som avgjør spørsmålet.   </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
          <w:sz w:val="24"/>
          <w:szCs w:val="24"/>
        </w:rPr>
        <w:t xml:space="preserve">I den videre behandling av saken i kommunestyregruppa gjøres det oppmerksom på Retningslinjer for Ap’s kommunepartier, § 7 Kommunestyregruppa, </w:t>
      </w:r>
      <w:proofErr w:type="spellStart"/>
      <w:r w:rsidRPr="001C79F7">
        <w:rPr>
          <w:rFonts w:ascii="Helvetica" w:hAnsi="Helvetica" w:cs="Arial"/>
          <w:sz w:val="24"/>
          <w:szCs w:val="24"/>
        </w:rPr>
        <w:t>pkt</w:t>
      </w:r>
      <w:proofErr w:type="spellEnd"/>
      <w:r w:rsidRPr="001C79F7">
        <w:rPr>
          <w:rFonts w:ascii="Helvetica" w:hAnsi="Helvetica" w:cs="Arial"/>
          <w:sz w:val="24"/>
          <w:szCs w:val="24"/>
        </w:rPr>
        <w:t xml:space="preserve"> 5:</w:t>
      </w:r>
      <w:r w:rsidRPr="001C79F7">
        <w:rPr>
          <w:rFonts w:ascii="Helvetica" w:hAnsi="Helvetica" w:cs="Arial"/>
          <w:sz w:val="24"/>
          <w:szCs w:val="24"/>
        </w:rPr>
        <w:br/>
        <w:t xml:space="preserve"> </w:t>
      </w:r>
      <w:r w:rsidRPr="001C79F7">
        <w:rPr>
          <w:rFonts w:ascii="Helvetica" w:hAnsi="Helvetica" w:cs="Arial"/>
          <w:sz w:val="24"/>
          <w:szCs w:val="24"/>
        </w:rPr>
        <w:br/>
      </w:r>
      <w:r w:rsidRPr="001C79F7">
        <w:rPr>
          <w:rFonts w:ascii="Helvetica" w:hAnsi="Helvetica" w:cs="ArialMT"/>
          <w:i/>
          <w:iCs/>
          <w:sz w:val="24"/>
          <w:szCs w:val="24"/>
        </w:rPr>
        <w:t>Kommunepartiets leder og inntil to andre styremedlemmer utpekt av</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t>partistyret tiltrer kommunestyregruppa med tale-, forslags- og stemmerett.</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t>Kommunepartiets leder eller annet styremedlem utpekt av styret tiltrer</w:t>
      </w:r>
    </w:p>
    <w:p w:rsidR="001C79F7" w:rsidRPr="001C79F7" w:rsidRDefault="001C79F7" w:rsidP="001C79F7">
      <w:pPr>
        <w:rPr>
          <w:rFonts w:ascii="Helvetica" w:hAnsi="Helvetica" w:cs="Arial"/>
          <w:i/>
          <w:iCs/>
          <w:sz w:val="24"/>
          <w:szCs w:val="24"/>
        </w:rPr>
      </w:pPr>
      <w:r w:rsidRPr="001C79F7">
        <w:rPr>
          <w:rFonts w:ascii="Helvetica" w:hAnsi="Helvetica" w:cs="ArialMT"/>
          <w:i/>
          <w:iCs/>
          <w:sz w:val="24"/>
          <w:szCs w:val="24"/>
        </w:rPr>
        <w:t>formannskapsgruppa med fulle rettigheter.</w:t>
      </w:r>
    </w:p>
    <w:p w:rsidR="001C79F7" w:rsidRPr="001C79F7" w:rsidRDefault="001C79F7" w:rsidP="001C79F7">
      <w:pPr>
        <w:autoSpaceDE w:val="0"/>
        <w:autoSpaceDN w:val="0"/>
        <w:adjustRightInd w:val="0"/>
        <w:spacing w:after="0" w:line="240" w:lineRule="auto"/>
        <w:rPr>
          <w:rFonts w:ascii="Helvetica" w:hAnsi="Helvetica" w:cs="Arial"/>
          <w:b/>
          <w:bCs/>
          <w:sz w:val="24"/>
          <w:szCs w:val="24"/>
        </w:rPr>
      </w:pPr>
    </w:p>
    <w:p w:rsidR="001C79F7" w:rsidRPr="001C79F7" w:rsidRDefault="001C79F7" w:rsidP="001C79F7">
      <w:pPr>
        <w:autoSpaceDE w:val="0"/>
        <w:autoSpaceDN w:val="0"/>
        <w:adjustRightInd w:val="0"/>
        <w:spacing w:after="0" w:line="240" w:lineRule="auto"/>
        <w:rPr>
          <w:rFonts w:ascii="Helvetica" w:hAnsi="Helvetica" w:cs="Arial"/>
          <w:b/>
          <w:bCs/>
          <w:sz w:val="24"/>
          <w:szCs w:val="24"/>
        </w:rPr>
      </w:pPr>
      <w:r w:rsidRPr="001C79F7">
        <w:rPr>
          <w:rFonts w:ascii="Helvetica" w:hAnsi="Helvetica" w:cs="Arial"/>
          <w:b/>
          <w:bCs/>
          <w:sz w:val="24"/>
          <w:szCs w:val="24"/>
        </w:rPr>
        <w:t>Habilitetsregler i Arbeiderpartiet</w:t>
      </w:r>
    </w:p>
    <w:p w:rsidR="001C79F7" w:rsidRPr="001C79F7" w:rsidRDefault="001C79F7" w:rsidP="001C79F7">
      <w:pPr>
        <w:autoSpaceDE w:val="0"/>
        <w:autoSpaceDN w:val="0"/>
        <w:adjustRightInd w:val="0"/>
        <w:spacing w:after="0" w:line="240" w:lineRule="auto"/>
        <w:rPr>
          <w:rFonts w:ascii="Helvetica" w:hAnsi="Helvetica" w:cs="Arial"/>
          <w:b/>
          <w:bCs/>
          <w:sz w:val="24"/>
          <w:szCs w:val="24"/>
        </w:rPr>
      </w:pPr>
    </w:p>
    <w:p w:rsidR="001C79F7" w:rsidRPr="001C79F7" w:rsidRDefault="001C79F7" w:rsidP="001C79F7">
      <w:pPr>
        <w:autoSpaceDE w:val="0"/>
        <w:autoSpaceDN w:val="0"/>
        <w:adjustRightInd w:val="0"/>
        <w:spacing w:after="0" w:line="240" w:lineRule="auto"/>
        <w:rPr>
          <w:rFonts w:ascii="Helvetica" w:hAnsi="Helvetica" w:cs="Arial"/>
          <w:sz w:val="24"/>
          <w:szCs w:val="24"/>
        </w:rPr>
      </w:pPr>
      <w:r w:rsidRPr="001C79F7">
        <w:rPr>
          <w:rFonts w:ascii="Helvetica" w:hAnsi="Helvetica" w:cs="Arial"/>
          <w:sz w:val="24"/>
          <w:szCs w:val="24"/>
        </w:rPr>
        <w:t xml:space="preserve">Arbeiderpartiets vedtekter, § 13 Alminnelige bestemmelser </w:t>
      </w:r>
      <w:proofErr w:type="spellStart"/>
      <w:r w:rsidRPr="001C79F7">
        <w:rPr>
          <w:rFonts w:ascii="Helvetica" w:hAnsi="Helvetica" w:cs="Arial"/>
          <w:sz w:val="24"/>
          <w:szCs w:val="24"/>
        </w:rPr>
        <w:t>pkt</w:t>
      </w:r>
      <w:proofErr w:type="spellEnd"/>
      <w:r w:rsidRPr="001C79F7">
        <w:rPr>
          <w:rFonts w:ascii="Helvetica" w:hAnsi="Helvetica" w:cs="Arial"/>
          <w:sz w:val="24"/>
          <w:szCs w:val="24"/>
        </w:rPr>
        <w:t xml:space="preserve"> 19 har følgende ordlyd:</w:t>
      </w:r>
    </w:p>
    <w:p w:rsidR="001C79F7" w:rsidRPr="001C79F7" w:rsidRDefault="001C79F7" w:rsidP="001C79F7">
      <w:pPr>
        <w:autoSpaceDE w:val="0"/>
        <w:autoSpaceDN w:val="0"/>
        <w:adjustRightInd w:val="0"/>
        <w:spacing w:after="0" w:line="240" w:lineRule="auto"/>
        <w:rPr>
          <w:rFonts w:ascii="Helvetica" w:hAnsi="Helvetica" w:cs="Arial-BoldMT"/>
          <w:b/>
          <w:bCs/>
          <w:sz w:val="24"/>
          <w:szCs w:val="24"/>
        </w:rPr>
      </w:pP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t>Den som har personlige eller familiære interesser (økonomiske,</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t>forretningsmessige mv.) i en sak som behandles i partiets organer eller i</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lastRenderedPageBreak/>
        <w:t>kommunestyregruppe, fylkestingsgruppe, mv. er å anse som inhabile og kan</w:t>
      </w:r>
    </w:p>
    <w:p w:rsidR="001C79F7" w:rsidRPr="001C79F7" w:rsidRDefault="001C79F7" w:rsidP="001C79F7">
      <w:pPr>
        <w:autoSpaceDE w:val="0"/>
        <w:autoSpaceDN w:val="0"/>
        <w:adjustRightInd w:val="0"/>
        <w:spacing w:after="0" w:line="240" w:lineRule="auto"/>
        <w:rPr>
          <w:rFonts w:ascii="Helvetica" w:hAnsi="Helvetica" w:cs="Arial-BoldMT"/>
          <w:b/>
          <w:bCs/>
          <w:i/>
          <w:iCs/>
          <w:sz w:val="24"/>
          <w:szCs w:val="24"/>
        </w:rPr>
      </w:pPr>
      <w:r w:rsidRPr="001C79F7">
        <w:rPr>
          <w:rFonts w:ascii="Helvetica" w:hAnsi="Helvetica" w:cs="ArialMT"/>
          <w:i/>
          <w:iCs/>
          <w:sz w:val="24"/>
          <w:szCs w:val="24"/>
        </w:rPr>
        <w:t>således ikke ta del i behandlingen av saken.</w:t>
      </w:r>
    </w:p>
    <w:p w:rsidR="001C79F7" w:rsidRPr="001C79F7" w:rsidRDefault="001C79F7" w:rsidP="001C79F7">
      <w:pPr>
        <w:autoSpaceDE w:val="0"/>
        <w:autoSpaceDN w:val="0"/>
        <w:adjustRightInd w:val="0"/>
        <w:spacing w:after="0" w:line="240" w:lineRule="auto"/>
        <w:rPr>
          <w:rFonts w:ascii="Helvetica" w:hAnsi="Helvetica" w:cs="Arial"/>
          <w:b/>
          <w:bCs/>
          <w:i/>
          <w:iCs/>
          <w:sz w:val="24"/>
          <w:szCs w:val="24"/>
        </w:rPr>
      </w:pPr>
    </w:p>
    <w:p w:rsidR="001C79F7" w:rsidRPr="001C79F7" w:rsidRDefault="001C79F7" w:rsidP="001C79F7">
      <w:pPr>
        <w:autoSpaceDE w:val="0"/>
        <w:autoSpaceDN w:val="0"/>
        <w:adjustRightInd w:val="0"/>
        <w:spacing w:after="0" w:line="240" w:lineRule="auto"/>
        <w:rPr>
          <w:rFonts w:ascii="Helvetica" w:hAnsi="Helvetica" w:cs="ArialMT"/>
          <w:b/>
          <w:bCs/>
          <w:sz w:val="24"/>
          <w:szCs w:val="24"/>
        </w:rPr>
      </w:pPr>
      <w:r w:rsidRPr="001C79F7">
        <w:rPr>
          <w:rFonts w:ascii="Helvetica" w:hAnsi="Helvetica" w:cs="Arial"/>
          <w:sz w:val="24"/>
          <w:szCs w:val="24"/>
        </w:rPr>
        <w:t xml:space="preserve">I Retningslinjer for Arbeiderpartiets kommunepartier </w:t>
      </w:r>
      <w:r w:rsidRPr="001C79F7">
        <w:rPr>
          <w:rFonts w:ascii="Helvetica" w:hAnsi="Helvetica" w:cs="Arial"/>
          <w:sz w:val="24"/>
          <w:szCs w:val="24"/>
        </w:rPr>
        <w:br/>
        <w:t>§7 Kommunestyregruppa pkt. 9 heter det:</w:t>
      </w:r>
      <w:r w:rsidRPr="001C79F7">
        <w:rPr>
          <w:rFonts w:ascii="Helvetica" w:hAnsi="Helvetica" w:cs="ArialMT"/>
          <w:sz w:val="24"/>
          <w:szCs w:val="24"/>
        </w:rPr>
        <w:br/>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t>Den som er inhabil i en sak som skal behandles i fylkesting eller</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t>kommunestyre og/eller har personlige eller familiære interesser (økonomiske,</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t>forretningsmessige mv.) i en sak som behandles i partiets organer eller i</w:t>
      </w:r>
    </w:p>
    <w:p w:rsidR="001C79F7" w:rsidRPr="001C79F7" w:rsidRDefault="001C79F7" w:rsidP="001C79F7">
      <w:pPr>
        <w:autoSpaceDE w:val="0"/>
        <w:autoSpaceDN w:val="0"/>
        <w:adjustRightInd w:val="0"/>
        <w:spacing w:after="0" w:line="240" w:lineRule="auto"/>
        <w:rPr>
          <w:rFonts w:ascii="Helvetica" w:hAnsi="Helvetica" w:cs="ArialMT"/>
          <w:i/>
          <w:iCs/>
          <w:sz w:val="24"/>
          <w:szCs w:val="24"/>
        </w:rPr>
      </w:pPr>
      <w:r w:rsidRPr="001C79F7">
        <w:rPr>
          <w:rFonts w:ascii="Helvetica" w:hAnsi="Helvetica" w:cs="ArialMT"/>
          <w:i/>
          <w:iCs/>
          <w:sz w:val="24"/>
          <w:szCs w:val="24"/>
        </w:rPr>
        <w:t>kommunestyregruppe, fylkestingsgruppe mv. er å anse som inhabile i partiets</w:t>
      </w:r>
    </w:p>
    <w:p w:rsidR="001C79F7" w:rsidRPr="001C79F7" w:rsidRDefault="001C79F7" w:rsidP="001C79F7">
      <w:pPr>
        <w:rPr>
          <w:rFonts w:ascii="Helvetica" w:hAnsi="Helvetica" w:cs="ArialMT"/>
          <w:i/>
          <w:iCs/>
          <w:sz w:val="24"/>
          <w:szCs w:val="24"/>
        </w:rPr>
      </w:pPr>
      <w:r w:rsidRPr="001C79F7">
        <w:rPr>
          <w:rFonts w:ascii="Helvetica" w:hAnsi="Helvetica" w:cs="ArialMT"/>
          <w:i/>
          <w:iCs/>
          <w:sz w:val="24"/>
          <w:szCs w:val="24"/>
        </w:rPr>
        <w:t>behandling.</w:t>
      </w:r>
    </w:p>
    <w:p w:rsidR="004C2735" w:rsidRDefault="001C79F7" w:rsidP="004C2735">
      <w:pPr>
        <w:shd w:val="clear" w:color="auto" w:fill="FFFFFF"/>
        <w:spacing w:after="0" w:line="240" w:lineRule="auto"/>
        <w:rPr>
          <w:rFonts w:ascii="Helvetica" w:eastAsia="Times New Roman" w:hAnsi="Helvetica" w:cs="Times New Roman"/>
          <w:i/>
          <w:iCs/>
          <w:color w:val="333333"/>
          <w:sz w:val="24"/>
          <w:szCs w:val="24"/>
          <w:lang w:eastAsia="nb-NO"/>
        </w:rPr>
      </w:pPr>
      <w:r w:rsidRPr="001C79F7">
        <w:rPr>
          <w:rFonts w:ascii="Helvetica" w:hAnsi="Helvetica" w:cs="Arial"/>
          <w:sz w:val="24"/>
          <w:szCs w:val="24"/>
        </w:rPr>
        <w:t>Hvis man ønsker en mer eksplisitt definisjon av paragrafene gjengitt ovenfor finner men ikke det i Arbeiderpartiets vedtekter og retningslinjer, men det vil være naturlig å gå til Forvaltningsloven og eller Kommuneloven å bruke definisjonene herfra. Forvaltningslovens Kapittel II Om ugildhet, § 6 Habilitetskrav første og andre ledd sier:</w:t>
      </w:r>
      <w:r w:rsidRPr="001C79F7">
        <w:rPr>
          <w:rFonts w:ascii="Helvetica" w:hAnsi="Helvetica" w:cs="ArialMT"/>
          <w:sz w:val="24"/>
          <w:szCs w:val="24"/>
        </w:rPr>
        <w:br/>
      </w:r>
      <w:r w:rsidRPr="001C79F7">
        <w:rPr>
          <w:rFonts w:ascii="Helvetica" w:eastAsia="Times New Roman" w:hAnsi="Helvetica" w:cs="Times New Roman"/>
          <w:i/>
          <w:iCs/>
          <w:color w:val="333333"/>
          <w:sz w:val="24"/>
          <w:szCs w:val="24"/>
          <w:lang w:eastAsia="nb-NO"/>
        </w:rPr>
        <w:br/>
        <w:t>En offentlig tjenestemann er ugild til å tilrettelegge grunnlaget for en avgjørelse eller til å treffe avgjørelse i en forvaltningssak</w:t>
      </w:r>
    </w:p>
    <w:p w:rsidR="004C2735" w:rsidRPr="001C79F7" w:rsidRDefault="004C2735" w:rsidP="004C2735">
      <w:pPr>
        <w:shd w:val="clear" w:color="auto" w:fill="FFFFFF"/>
        <w:spacing w:after="0" w:line="240" w:lineRule="auto"/>
        <w:rPr>
          <w:rFonts w:ascii="Helvetica" w:eastAsia="Times New Roman" w:hAnsi="Helvetica" w:cs="Times New Roman"/>
          <w:i/>
          <w:iCs/>
          <w:color w:val="333333"/>
          <w:sz w:val="24"/>
          <w:szCs w:val="24"/>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1C79F7" w:rsidRPr="001C79F7" w:rsidTr="00620251">
        <w:tc>
          <w:tcPr>
            <w:tcW w:w="670" w:type="dxa"/>
            <w:shd w:val="clear" w:color="auto" w:fill="FFFFFF"/>
            <w:noWrap/>
            <w:tcMar>
              <w:top w:w="0" w:type="dxa"/>
              <w:left w:w="30" w:type="dxa"/>
              <w:bottom w:w="0" w:type="dxa"/>
              <w:right w:w="30" w:type="dxa"/>
            </w:tcMar>
            <w:hideMark/>
          </w:tcPr>
          <w:p w:rsidR="001C79F7" w:rsidRPr="001C79F7" w:rsidRDefault="001C79F7" w:rsidP="004C2735">
            <w:pPr>
              <w:spacing w:after="0" w:line="240" w:lineRule="auto"/>
              <w:jc w:val="right"/>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a)</w:t>
            </w:r>
          </w:p>
        </w:tc>
        <w:tc>
          <w:tcPr>
            <w:tcW w:w="0" w:type="auto"/>
            <w:shd w:val="clear" w:color="auto" w:fill="FFFFFF"/>
            <w:tcMar>
              <w:top w:w="0" w:type="dxa"/>
              <w:left w:w="30" w:type="dxa"/>
              <w:bottom w:w="0" w:type="dxa"/>
              <w:right w:w="30" w:type="dxa"/>
            </w:tcMar>
            <w:hideMark/>
          </w:tcPr>
          <w:p w:rsidR="001C79F7" w:rsidRPr="001C79F7" w:rsidRDefault="001C79F7" w:rsidP="004C2735">
            <w:pPr>
              <w:spacing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når han selv er part i saken;</w:t>
            </w:r>
          </w:p>
        </w:tc>
      </w:tr>
    </w:tbl>
    <w:p w:rsidR="001C79F7" w:rsidRPr="001C79F7" w:rsidRDefault="001C79F7" w:rsidP="004C2735">
      <w:pPr>
        <w:spacing w:after="0" w:line="240" w:lineRule="auto"/>
        <w:rPr>
          <w:rFonts w:ascii="Helvetica" w:eastAsia="Times New Roman" w:hAnsi="Helvetica" w:cs="Times New Roman"/>
          <w:i/>
          <w:iCs/>
          <w:vanish/>
          <w:sz w:val="24"/>
          <w:szCs w:val="24"/>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1C79F7" w:rsidRPr="001C79F7" w:rsidTr="00620251">
        <w:tc>
          <w:tcPr>
            <w:tcW w:w="670" w:type="dxa"/>
            <w:shd w:val="clear" w:color="auto" w:fill="FFFFFF"/>
            <w:noWrap/>
            <w:tcMar>
              <w:top w:w="0" w:type="dxa"/>
              <w:left w:w="30" w:type="dxa"/>
              <w:bottom w:w="0" w:type="dxa"/>
              <w:right w:w="30" w:type="dxa"/>
            </w:tcMar>
            <w:hideMark/>
          </w:tcPr>
          <w:p w:rsidR="001C79F7" w:rsidRPr="001C79F7" w:rsidRDefault="001C79F7" w:rsidP="004C2735">
            <w:pPr>
              <w:spacing w:after="0" w:line="240" w:lineRule="auto"/>
              <w:jc w:val="right"/>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b)</w:t>
            </w:r>
          </w:p>
        </w:tc>
        <w:tc>
          <w:tcPr>
            <w:tcW w:w="0" w:type="auto"/>
            <w:shd w:val="clear" w:color="auto" w:fill="FFFFFF"/>
            <w:tcMar>
              <w:top w:w="0" w:type="dxa"/>
              <w:left w:w="30" w:type="dxa"/>
              <w:bottom w:w="0" w:type="dxa"/>
              <w:right w:w="30" w:type="dxa"/>
            </w:tcMar>
            <w:hideMark/>
          </w:tcPr>
          <w:p w:rsidR="001C79F7" w:rsidRPr="001C79F7" w:rsidRDefault="001C79F7" w:rsidP="004C2735">
            <w:pPr>
              <w:spacing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 xml:space="preserve">når han er i slekt eller svogerskap med en part i opp- eller nedstigende linje eller i </w:t>
            </w:r>
            <w:r w:rsidRPr="001C79F7">
              <w:rPr>
                <w:rFonts w:ascii="Helvetica" w:eastAsia="Times New Roman" w:hAnsi="Helvetica" w:cs="Times New Roman"/>
                <w:i/>
                <w:iCs/>
                <w:color w:val="333333"/>
                <w:sz w:val="24"/>
                <w:szCs w:val="24"/>
                <w:lang w:eastAsia="nb-NO"/>
              </w:rPr>
              <w:br/>
              <w:t>sidelinje så nær som søsken;</w:t>
            </w:r>
          </w:p>
        </w:tc>
      </w:tr>
    </w:tbl>
    <w:p w:rsidR="001C79F7" w:rsidRPr="001C79F7" w:rsidRDefault="001C79F7" w:rsidP="001C79F7">
      <w:pPr>
        <w:spacing w:after="0" w:line="240" w:lineRule="auto"/>
        <w:rPr>
          <w:rFonts w:ascii="Helvetica" w:eastAsia="Times New Roman" w:hAnsi="Helvetica" w:cs="Times New Roman"/>
          <w:i/>
          <w:iCs/>
          <w:vanish/>
          <w:sz w:val="24"/>
          <w:szCs w:val="24"/>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1C79F7" w:rsidRPr="001C79F7" w:rsidTr="00620251">
        <w:tc>
          <w:tcPr>
            <w:tcW w:w="670" w:type="dxa"/>
            <w:shd w:val="clear" w:color="auto" w:fill="FFFFFF"/>
            <w:noWrap/>
            <w:tcMar>
              <w:top w:w="0" w:type="dxa"/>
              <w:left w:w="30" w:type="dxa"/>
              <w:bottom w:w="0" w:type="dxa"/>
              <w:right w:w="30" w:type="dxa"/>
            </w:tcMar>
            <w:hideMark/>
          </w:tcPr>
          <w:p w:rsidR="001C79F7" w:rsidRPr="001C79F7" w:rsidRDefault="001C79F7" w:rsidP="00620251">
            <w:pPr>
              <w:spacing w:after="0" w:line="240" w:lineRule="auto"/>
              <w:jc w:val="right"/>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c)</w:t>
            </w:r>
          </w:p>
        </w:tc>
        <w:tc>
          <w:tcPr>
            <w:tcW w:w="0" w:type="auto"/>
            <w:shd w:val="clear" w:color="auto" w:fill="FFFFFF"/>
            <w:tcMar>
              <w:top w:w="0" w:type="dxa"/>
              <w:left w:w="30" w:type="dxa"/>
              <w:bottom w:w="0" w:type="dxa"/>
              <w:right w:w="30" w:type="dxa"/>
            </w:tcMar>
            <w:hideMark/>
          </w:tcPr>
          <w:p w:rsidR="001C79F7" w:rsidRPr="001C79F7" w:rsidRDefault="001C79F7" w:rsidP="00620251">
            <w:pPr>
              <w:spacing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 xml:space="preserve">når han er eller har vært gift med eller er forlovet med eller er fosterfar, fostermor eller </w:t>
            </w:r>
            <w:r w:rsidRPr="001C79F7">
              <w:rPr>
                <w:rFonts w:ascii="Helvetica" w:eastAsia="Times New Roman" w:hAnsi="Helvetica" w:cs="Times New Roman"/>
                <w:i/>
                <w:iCs/>
                <w:color w:val="333333"/>
                <w:sz w:val="24"/>
                <w:szCs w:val="24"/>
                <w:lang w:eastAsia="nb-NO"/>
              </w:rPr>
              <w:br/>
              <w:t>fosterbarn til en part;</w:t>
            </w:r>
          </w:p>
        </w:tc>
      </w:tr>
    </w:tbl>
    <w:p w:rsidR="001C79F7" w:rsidRPr="001C79F7" w:rsidRDefault="001C79F7" w:rsidP="001C79F7">
      <w:pPr>
        <w:spacing w:after="0" w:line="240" w:lineRule="auto"/>
        <w:rPr>
          <w:rFonts w:ascii="Helvetica" w:eastAsia="Times New Roman" w:hAnsi="Helvetica" w:cs="Times New Roman"/>
          <w:i/>
          <w:iCs/>
          <w:vanish/>
          <w:sz w:val="24"/>
          <w:szCs w:val="24"/>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1C79F7" w:rsidRPr="001C79F7" w:rsidTr="00620251">
        <w:tc>
          <w:tcPr>
            <w:tcW w:w="670" w:type="dxa"/>
            <w:shd w:val="clear" w:color="auto" w:fill="FFFFFF"/>
            <w:noWrap/>
            <w:tcMar>
              <w:top w:w="0" w:type="dxa"/>
              <w:left w:w="30" w:type="dxa"/>
              <w:bottom w:w="0" w:type="dxa"/>
              <w:right w:w="30" w:type="dxa"/>
            </w:tcMar>
            <w:hideMark/>
          </w:tcPr>
          <w:p w:rsidR="001C79F7" w:rsidRPr="001C79F7" w:rsidRDefault="001C79F7" w:rsidP="00620251">
            <w:pPr>
              <w:spacing w:after="0" w:line="240" w:lineRule="auto"/>
              <w:jc w:val="right"/>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d)</w:t>
            </w:r>
          </w:p>
        </w:tc>
        <w:tc>
          <w:tcPr>
            <w:tcW w:w="0" w:type="auto"/>
            <w:shd w:val="clear" w:color="auto" w:fill="FFFFFF"/>
            <w:tcMar>
              <w:top w:w="0" w:type="dxa"/>
              <w:left w:w="30" w:type="dxa"/>
              <w:bottom w:w="0" w:type="dxa"/>
              <w:right w:w="30" w:type="dxa"/>
            </w:tcMar>
            <w:hideMark/>
          </w:tcPr>
          <w:p w:rsidR="001C79F7" w:rsidRPr="001C79F7" w:rsidRDefault="001C79F7" w:rsidP="00620251">
            <w:pPr>
              <w:spacing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 xml:space="preserve">når han er verge eller fullmektig for en part i saken eller har vært verge eller fullmektig </w:t>
            </w:r>
            <w:r w:rsidRPr="001C79F7">
              <w:rPr>
                <w:rFonts w:ascii="Helvetica" w:eastAsia="Times New Roman" w:hAnsi="Helvetica" w:cs="Times New Roman"/>
                <w:i/>
                <w:iCs/>
                <w:color w:val="333333"/>
                <w:sz w:val="24"/>
                <w:szCs w:val="24"/>
                <w:lang w:eastAsia="nb-NO"/>
              </w:rPr>
              <w:br/>
              <w:t>for en part etter at saken begynte;</w:t>
            </w:r>
          </w:p>
        </w:tc>
      </w:tr>
    </w:tbl>
    <w:p w:rsidR="001C79F7" w:rsidRPr="001C79F7" w:rsidRDefault="001C79F7" w:rsidP="001C79F7">
      <w:pPr>
        <w:spacing w:after="0" w:line="240" w:lineRule="auto"/>
        <w:rPr>
          <w:rFonts w:ascii="Helvetica" w:eastAsia="Times New Roman" w:hAnsi="Helvetica" w:cs="Times New Roman"/>
          <w:i/>
          <w:iCs/>
          <w:vanish/>
          <w:sz w:val="24"/>
          <w:szCs w:val="24"/>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2740"/>
      </w:tblGrid>
      <w:tr w:rsidR="001C79F7" w:rsidRPr="001C79F7" w:rsidTr="00620251">
        <w:tc>
          <w:tcPr>
            <w:tcW w:w="670" w:type="dxa"/>
            <w:shd w:val="clear" w:color="auto" w:fill="FFFFFF"/>
            <w:noWrap/>
            <w:tcMar>
              <w:top w:w="0" w:type="dxa"/>
              <w:left w:w="30" w:type="dxa"/>
              <w:bottom w:w="0" w:type="dxa"/>
              <w:right w:w="30" w:type="dxa"/>
            </w:tcMar>
            <w:hideMark/>
          </w:tcPr>
          <w:p w:rsidR="001C79F7" w:rsidRPr="001C79F7" w:rsidRDefault="001C79F7" w:rsidP="00620251">
            <w:pPr>
              <w:spacing w:after="0" w:line="240" w:lineRule="auto"/>
              <w:jc w:val="right"/>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e)</w:t>
            </w:r>
          </w:p>
        </w:tc>
        <w:tc>
          <w:tcPr>
            <w:tcW w:w="0" w:type="auto"/>
            <w:shd w:val="clear" w:color="auto" w:fill="FFFFFF"/>
            <w:tcMar>
              <w:top w:w="0" w:type="dxa"/>
              <w:left w:w="30" w:type="dxa"/>
              <w:bottom w:w="0" w:type="dxa"/>
              <w:right w:w="30" w:type="dxa"/>
            </w:tcMar>
            <w:hideMark/>
          </w:tcPr>
          <w:p w:rsidR="001C79F7" w:rsidRPr="001C79F7" w:rsidRDefault="001C79F7" w:rsidP="00620251">
            <w:pPr>
              <w:spacing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 xml:space="preserve">når han leder eller har ledende stilling i, eller er medlem av styret eller bedriftsforsamling </w:t>
            </w:r>
            <w:r w:rsidRPr="001C79F7">
              <w:rPr>
                <w:rFonts w:ascii="Helvetica" w:eastAsia="Times New Roman" w:hAnsi="Helvetica" w:cs="Times New Roman"/>
                <w:i/>
                <w:iCs/>
                <w:color w:val="333333"/>
                <w:sz w:val="24"/>
                <w:szCs w:val="24"/>
                <w:lang w:eastAsia="nb-NO"/>
              </w:rPr>
              <w:br/>
              <w:t>for</w:t>
            </w:r>
          </w:p>
        </w:tc>
      </w:tr>
    </w:tbl>
    <w:p w:rsidR="001C79F7" w:rsidRPr="001C79F7" w:rsidRDefault="001C79F7" w:rsidP="001C79F7">
      <w:pPr>
        <w:spacing w:after="0" w:line="240" w:lineRule="auto"/>
        <w:rPr>
          <w:rFonts w:ascii="Helvetica" w:eastAsia="Times New Roman" w:hAnsi="Helvetica" w:cs="Times New Roman"/>
          <w:i/>
          <w:iCs/>
          <w:vanish/>
          <w:sz w:val="24"/>
          <w:szCs w:val="24"/>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1340"/>
        <w:gridCol w:w="12070"/>
      </w:tblGrid>
      <w:tr w:rsidR="001C79F7" w:rsidRPr="001C79F7" w:rsidTr="00620251">
        <w:tc>
          <w:tcPr>
            <w:tcW w:w="1340" w:type="dxa"/>
            <w:shd w:val="clear" w:color="auto" w:fill="FFFFFF"/>
            <w:noWrap/>
            <w:tcMar>
              <w:top w:w="0" w:type="dxa"/>
              <w:left w:w="30" w:type="dxa"/>
              <w:bottom w:w="0" w:type="dxa"/>
              <w:right w:w="30" w:type="dxa"/>
            </w:tcMar>
            <w:hideMark/>
          </w:tcPr>
          <w:p w:rsidR="001C79F7" w:rsidRPr="001C79F7" w:rsidRDefault="001C79F7" w:rsidP="00620251">
            <w:pPr>
              <w:spacing w:after="0" w:line="240" w:lineRule="auto"/>
              <w:jc w:val="right"/>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1.</w:t>
            </w:r>
          </w:p>
        </w:tc>
        <w:tc>
          <w:tcPr>
            <w:tcW w:w="0" w:type="auto"/>
            <w:shd w:val="clear" w:color="auto" w:fill="FFFFFF"/>
            <w:tcMar>
              <w:top w:w="0" w:type="dxa"/>
              <w:left w:w="30" w:type="dxa"/>
              <w:bottom w:w="0" w:type="dxa"/>
              <w:right w:w="30" w:type="dxa"/>
            </w:tcMar>
            <w:hideMark/>
          </w:tcPr>
          <w:p w:rsidR="001C79F7" w:rsidRPr="001C79F7" w:rsidRDefault="001C79F7" w:rsidP="00620251">
            <w:pPr>
              <w:spacing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 xml:space="preserve">et samvirkeforetak, eller en forening, sparebank eller stiftelse som er part i saken, </w:t>
            </w:r>
            <w:r w:rsidRPr="001C79F7">
              <w:rPr>
                <w:rFonts w:ascii="Helvetica" w:eastAsia="Times New Roman" w:hAnsi="Helvetica" w:cs="Times New Roman"/>
                <w:i/>
                <w:iCs/>
                <w:color w:val="333333"/>
                <w:sz w:val="24"/>
                <w:szCs w:val="24"/>
                <w:lang w:eastAsia="nb-NO"/>
              </w:rPr>
              <w:br/>
              <w:t>eller</w:t>
            </w:r>
          </w:p>
        </w:tc>
      </w:tr>
    </w:tbl>
    <w:p w:rsidR="001C79F7" w:rsidRPr="001C79F7" w:rsidRDefault="001C79F7" w:rsidP="001C79F7">
      <w:pPr>
        <w:spacing w:after="0" w:line="240" w:lineRule="auto"/>
        <w:rPr>
          <w:rFonts w:ascii="Helvetica" w:eastAsia="Times New Roman" w:hAnsi="Helvetica" w:cs="Times New Roman"/>
          <w:i/>
          <w:iCs/>
          <w:vanish/>
          <w:sz w:val="24"/>
          <w:szCs w:val="24"/>
          <w:lang w:eastAsia="nb-NO"/>
        </w:rPr>
      </w:pPr>
    </w:p>
    <w:tbl>
      <w:tblPr>
        <w:tblW w:w="13410" w:type="dxa"/>
        <w:shd w:val="clear" w:color="auto" w:fill="FFFFFF"/>
        <w:tblCellMar>
          <w:top w:w="15" w:type="dxa"/>
          <w:left w:w="15" w:type="dxa"/>
          <w:bottom w:w="15" w:type="dxa"/>
          <w:right w:w="15" w:type="dxa"/>
        </w:tblCellMar>
        <w:tblLook w:val="04A0" w:firstRow="1" w:lastRow="0" w:firstColumn="1" w:lastColumn="0" w:noHBand="0" w:noVBand="1"/>
      </w:tblPr>
      <w:tblGrid>
        <w:gridCol w:w="1340"/>
        <w:gridCol w:w="12070"/>
      </w:tblGrid>
      <w:tr w:rsidR="001C79F7" w:rsidRPr="001C79F7" w:rsidTr="00620251">
        <w:tc>
          <w:tcPr>
            <w:tcW w:w="1340" w:type="dxa"/>
            <w:shd w:val="clear" w:color="auto" w:fill="FFFFFF"/>
            <w:noWrap/>
            <w:tcMar>
              <w:top w:w="0" w:type="dxa"/>
              <w:left w:w="30" w:type="dxa"/>
              <w:bottom w:w="0" w:type="dxa"/>
              <w:right w:w="30" w:type="dxa"/>
            </w:tcMar>
            <w:hideMark/>
          </w:tcPr>
          <w:p w:rsidR="001C79F7" w:rsidRPr="001C79F7" w:rsidRDefault="001C79F7" w:rsidP="00620251">
            <w:pPr>
              <w:spacing w:after="0" w:line="240" w:lineRule="auto"/>
              <w:jc w:val="right"/>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2.</w:t>
            </w:r>
          </w:p>
        </w:tc>
        <w:tc>
          <w:tcPr>
            <w:tcW w:w="0" w:type="auto"/>
            <w:shd w:val="clear" w:color="auto" w:fill="FFFFFF"/>
            <w:tcMar>
              <w:top w:w="0" w:type="dxa"/>
              <w:left w:w="30" w:type="dxa"/>
              <w:bottom w:w="0" w:type="dxa"/>
              <w:right w:w="30" w:type="dxa"/>
            </w:tcMar>
            <w:hideMark/>
          </w:tcPr>
          <w:p w:rsidR="001C79F7" w:rsidRPr="001C79F7" w:rsidRDefault="001C79F7" w:rsidP="00620251">
            <w:pPr>
              <w:spacing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 xml:space="preserve">et selskap som er part i saken. Dette gjelder likevel ikke for person som utfører </w:t>
            </w:r>
            <w:r w:rsidRPr="001C79F7">
              <w:rPr>
                <w:rFonts w:ascii="Helvetica" w:eastAsia="Times New Roman" w:hAnsi="Helvetica" w:cs="Times New Roman"/>
                <w:i/>
                <w:iCs/>
                <w:color w:val="333333"/>
                <w:sz w:val="24"/>
                <w:szCs w:val="24"/>
                <w:lang w:eastAsia="nb-NO"/>
              </w:rPr>
              <w:br/>
              <w:t xml:space="preserve">tjeneste eller arbeid for et selskap som er fullt ut offentlig eid og dette selskapet, </w:t>
            </w:r>
            <w:r w:rsidRPr="001C79F7">
              <w:rPr>
                <w:rFonts w:ascii="Helvetica" w:eastAsia="Times New Roman" w:hAnsi="Helvetica" w:cs="Times New Roman"/>
                <w:i/>
                <w:iCs/>
                <w:color w:val="333333"/>
                <w:sz w:val="24"/>
                <w:szCs w:val="24"/>
                <w:lang w:eastAsia="nb-NO"/>
              </w:rPr>
              <w:br/>
              <w:t xml:space="preserve">alene eller sammen med andre tilsvarende selskaper eller det offentlige, </w:t>
            </w:r>
            <w:r w:rsidRPr="001C79F7">
              <w:rPr>
                <w:rFonts w:ascii="Helvetica" w:eastAsia="Times New Roman" w:hAnsi="Helvetica" w:cs="Times New Roman"/>
                <w:i/>
                <w:iCs/>
                <w:color w:val="333333"/>
                <w:sz w:val="24"/>
                <w:szCs w:val="24"/>
                <w:lang w:eastAsia="nb-NO"/>
              </w:rPr>
              <w:br/>
              <w:t>fullt ut eier selskapet som er part i saken.</w:t>
            </w:r>
          </w:p>
        </w:tc>
      </w:tr>
    </w:tbl>
    <w:p w:rsidR="001C79F7" w:rsidRPr="001C79F7" w:rsidRDefault="001C79F7" w:rsidP="001C79F7">
      <w:pPr>
        <w:shd w:val="clear" w:color="auto" w:fill="FFFFFF"/>
        <w:spacing w:before="225"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Likeså er han ugild når andre særegne forhold foreligger som er egnet til å svekke tilliten til hans upartiskhet; blant annet skal legges vekt på om avgjørelsen i saken kan innebære særlig fordel, tap eller ulempe for ham selv eller noen som han har nær personlig tilknytning til. Det skal også legges vekt på om ugildhetsinnsigelse er reist av en part.</w:t>
      </w:r>
    </w:p>
    <w:p w:rsidR="001C79F7" w:rsidRPr="001C79F7" w:rsidRDefault="001C79F7" w:rsidP="001C79F7">
      <w:pPr>
        <w:spacing w:after="0" w:line="240" w:lineRule="auto"/>
        <w:rPr>
          <w:rFonts w:ascii="Helvetica" w:eastAsia="Times New Roman" w:hAnsi="Helvetica" w:cs="Times New Roman"/>
          <w:b/>
          <w:bCs/>
          <w:color w:val="333333"/>
          <w:sz w:val="24"/>
          <w:szCs w:val="24"/>
          <w:shd w:val="clear" w:color="auto" w:fill="FFFFFF"/>
          <w:lang w:eastAsia="nb-NO"/>
        </w:rPr>
      </w:pPr>
    </w:p>
    <w:p w:rsidR="001C79F7" w:rsidRPr="001C79F7" w:rsidRDefault="001C79F7" w:rsidP="001C79F7">
      <w:pPr>
        <w:spacing w:after="0" w:line="240" w:lineRule="auto"/>
        <w:rPr>
          <w:rFonts w:ascii="Helvetica" w:eastAsia="Times New Roman" w:hAnsi="Helvetica" w:cs="Arial"/>
          <w:sz w:val="24"/>
          <w:szCs w:val="24"/>
          <w:lang w:eastAsia="nb-NO"/>
        </w:rPr>
      </w:pPr>
      <w:r w:rsidRPr="001C79F7">
        <w:rPr>
          <w:rFonts w:ascii="Helvetica" w:eastAsia="Times New Roman" w:hAnsi="Helvetica" w:cs="Arial"/>
          <w:color w:val="333333"/>
          <w:sz w:val="24"/>
          <w:szCs w:val="24"/>
          <w:shd w:val="clear" w:color="auto" w:fill="FFFFFF"/>
          <w:lang w:eastAsia="nb-NO"/>
        </w:rPr>
        <w:t>Kommunelovens § 11-10.Inhabilitet for folkevalgte</w:t>
      </w:r>
      <w:r w:rsidRPr="001C79F7">
        <w:rPr>
          <w:rFonts w:ascii="Helvetica" w:eastAsia="Times New Roman" w:hAnsi="Helvetica" w:cs="Arial"/>
          <w:i/>
          <w:iCs/>
          <w:color w:val="333333"/>
          <w:sz w:val="24"/>
          <w:szCs w:val="24"/>
          <w:shd w:val="clear" w:color="auto" w:fill="FFFFFF"/>
          <w:lang w:eastAsia="nb-NO"/>
        </w:rPr>
        <w:t xml:space="preserve">, </w:t>
      </w:r>
      <w:r w:rsidRPr="001C79F7">
        <w:rPr>
          <w:rFonts w:ascii="Helvetica" w:eastAsia="Times New Roman" w:hAnsi="Helvetica" w:cs="Arial"/>
          <w:color w:val="333333"/>
          <w:sz w:val="24"/>
          <w:szCs w:val="24"/>
          <w:shd w:val="clear" w:color="auto" w:fill="FFFFFF"/>
          <w:lang w:eastAsia="nb-NO"/>
        </w:rPr>
        <w:t>første ledd sier:</w:t>
      </w:r>
    </w:p>
    <w:p w:rsidR="001C79F7" w:rsidRPr="001C79F7" w:rsidRDefault="001C79F7" w:rsidP="001C79F7">
      <w:pPr>
        <w:shd w:val="clear" w:color="auto" w:fill="FFFFFF"/>
        <w:spacing w:before="225" w:after="0" w:line="240" w:lineRule="auto"/>
        <w:rPr>
          <w:rFonts w:ascii="Helvetica" w:eastAsia="Times New Roman" w:hAnsi="Helvetica" w:cs="Times New Roman"/>
          <w:i/>
          <w:iCs/>
          <w:color w:val="333333"/>
          <w:sz w:val="24"/>
          <w:szCs w:val="24"/>
          <w:lang w:eastAsia="nb-NO"/>
        </w:rPr>
      </w:pPr>
      <w:r w:rsidRPr="001C79F7">
        <w:rPr>
          <w:rFonts w:ascii="Helvetica" w:eastAsia="Times New Roman" w:hAnsi="Helvetica" w:cs="Times New Roman"/>
          <w:i/>
          <w:iCs/>
          <w:color w:val="333333"/>
          <w:sz w:val="24"/>
          <w:szCs w:val="24"/>
          <w:lang w:eastAsia="nb-NO"/>
        </w:rPr>
        <w:t>Bestemmelsene om inhabilitet i forvaltningsloven kapittel II gjelder ved behandlingen av saker i folkevalgte organer, med de særreglene som følger av denne paragrafen.</w:t>
      </w:r>
    </w:p>
    <w:p w:rsidR="001C79F7" w:rsidRPr="001C79F7" w:rsidRDefault="001C79F7" w:rsidP="001C79F7">
      <w:pPr>
        <w:shd w:val="clear" w:color="auto" w:fill="FFFFFF"/>
        <w:spacing w:before="225" w:after="0" w:line="240" w:lineRule="auto"/>
        <w:rPr>
          <w:rFonts w:ascii="Helvetica" w:eastAsia="Times New Roman" w:hAnsi="Helvetica" w:cs="Times New Roman"/>
          <w:i/>
          <w:iCs/>
          <w:color w:val="333333"/>
          <w:sz w:val="24"/>
          <w:szCs w:val="24"/>
          <w:lang w:eastAsia="nb-NO"/>
        </w:rPr>
      </w:pPr>
    </w:p>
    <w:p w:rsidR="001C79F7" w:rsidRDefault="001C79F7" w:rsidP="001C79F7"/>
    <w:p w:rsidR="001C79F7" w:rsidRDefault="001C79F7" w:rsidP="001C79F7">
      <w:r>
        <w:tab/>
      </w:r>
      <w:r>
        <w:tab/>
      </w:r>
      <w:r>
        <w:tab/>
      </w:r>
      <w:r>
        <w:tab/>
      </w:r>
      <w:r>
        <w:tab/>
        <w:t>***********</w:t>
      </w:r>
    </w:p>
    <w:p w:rsidR="001C79F7" w:rsidRDefault="001C79F7" w:rsidP="001C79F7"/>
    <w:p w:rsidR="001C79F7" w:rsidRPr="009D4B9C" w:rsidRDefault="001C79F7" w:rsidP="001C79F7"/>
    <w:p w:rsidR="00032B61" w:rsidRDefault="004C2735"/>
    <w:sectPr w:rsidR="00032B61" w:rsidSect="00A9655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F7"/>
    <w:rsid w:val="001C79F7"/>
    <w:rsid w:val="004C2735"/>
    <w:rsid w:val="00B35E29"/>
    <w:rsid w:val="00D07F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11ECF39"/>
  <w14:defaultImageDpi w14:val="32767"/>
  <w15:chartTrackingRefBased/>
  <w15:docId w15:val="{41AC3088-17ED-F440-93B8-611CB716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79F7"/>
    <w:pPr>
      <w:spacing w:after="160" w:line="259"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729</Words>
  <Characters>3867</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Karoline Knutsen</dc:creator>
  <cp:keywords/>
  <dc:description/>
  <cp:lastModifiedBy>Tove Karoline Knutsen</cp:lastModifiedBy>
  <cp:revision>2</cp:revision>
  <dcterms:created xsi:type="dcterms:W3CDTF">2020-04-27T15:11:00Z</dcterms:created>
  <dcterms:modified xsi:type="dcterms:W3CDTF">2020-04-27T15:53:00Z</dcterms:modified>
</cp:coreProperties>
</file>