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7D434" w14:textId="4D665247" w:rsidR="00EE60F8" w:rsidRPr="00C22DF4" w:rsidRDefault="00C22DF4">
      <w:pPr>
        <w:rPr>
          <w:b/>
          <w:bCs/>
          <w:sz w:val="48"/>
          <w:szCs w:val="48"/>
          <w:u w:val="single"/>
        </w:rPr>
      </w:pPr>
      <w:r w:rsidRPr="00C22DF4">
        <w:rPr>
          <w:b/>
          <w:bCs/>
          <w:sz w:val="48"/>
          <w:szCs w:val="48"/>
          <w:u w:val="single"/>
        </w:rPr>
        <w:t>Endringer i redaksjonskomiteens innstilling underveis i møtet</w:t>
      </w:r>
    </w:p>
    <w:p w14:paraId="0B9DDDB3" w14:textId="74394CC3" w:rsidR="00C22DF4" w:rsidRDefault="00C22DF4">
      <w:r>
        <w:t>Til dirigentbordet,</w:t>
      </w:r>
    </w:p>
    <w:p w14:paraId="7F13A2D4" w14:textId="77777777" w:rsidR="00C22DF4" w:rsidRDefault="00C22DF4"/>
    <w:p w14:paraId="4002F6E4" w14:textId="04D6379D" w:rsidR="00C22DF4" w:rsidRDefault="00C22DF4">
      <w:r>
        <w:t>Redaksjonskomiteens innstilling er lik den som er lagt til grunn, med følgende endringer:</w:t>
      </w:r>
    </w:p>
    <w:p w14:paraId="515BCF29" w14:textId="0BA591EB" w:rsidR="00C22DF4" w:rsidRPr="00C22DF4" w:rsidRDefault="00C22DF4">
      <w:pPr>
        <w:rPr>
          <w:b/>
          <w:bCs/>
          <w:u w:val="single"/>
        </w:rPr>
      </w:pPr>
      <w:r w:rsidRPr="00C22DF4">
        <w:rPr>
          <w:b/>
          <w:bCs/>
          <w:u w:val="single"/>
        </w:rPr>
        <w:t>R3:</w:t>
      </w:r>
    </w:p>
    <w:p w14:paraId="113978A8" w14:textId="77777777" w:rsidR="00C22DF4" w:rsidRPr="00C22DF4" w:rsidRDefault="00C22DF4" w:rsidP="00C22DF4">
      <w:pPr>
        <w:rPr>
          <w:b/>
          <w:bCs/>
        </w:rPr>
      </w:pPr>
      <w:r w:rsidRPr="00C22DF4">
        <w:rPr>
          <w:b/>
          <w:bCs/>
        </w:rPr>
        <w:t>ENDRINGSFORSLAG:</w:t>
      </w:r>
    </w:p>
    <w:p w14:paraId="64D66D0B" w14:textId="77777777" w:rsidR="00C22DF4" w:rsidRPr="00C22DF4" w:rsidRDefault="00C22DF4" w:rsidP="00C22DF4">
      <w:pPr>
        <w:numPr>
          <w:ilvl w:val="0"/>
          <w:numId w:val="1"/>
        </w:numPr>
        <w:rPr>
          <w:b/>
          <w:bCs/>
        </w:rPr>
      </w:pPr>
      <w:r w:rsidRPr="00C22DF4">
        <w:rPr>
          <w:b/>
          <w:bCs/>
        </w:rPr>
        <w:t>Per Rune Henriksen</w:t>
      </w:r>
    </w:p>
    <w:p w14:paraId="112218B0" w14:textId="77777777" w:rsidR="00C22DF4" w:rsidRPr="00C22DF4" w:rsidRDefault="00C22DF4" w:rsidP="00C22DF4">
      <w:pPr>
        <w:numPr>
          <w:ilvl w:val="1"/>
          <w:numId w:val="2"/>
        </w:numPr>
        <w:rPr>
          <w:b/>
          <w:bCs/>
        </w:rPr>
      </w:pPr>
      <w:r w:rsidRPr="00C22DF4">
        <w:rPr>
          <w:b/>
          <w:bCs/>
        </w:rPr>
        <w:t>Linje 255: Stryk “stabile”</w:t>
      </w:r>
    </w:p>
    <w:p w14:paraId="6419DBAC" w14:textId="77777777" w:rsidR="00C22DF4" w:rsidRPr="00C22DF4" w:rsidRDefault="00C22DF4" w:rsidP="00C22DF4">
      <w:pPr>
        <w:numPr>
          <w:ilvl w:val="1"/>
          <w:numId w:val="3"/>
        </w:numPr>
        <w:rPr>
          <w:b/>
          <w:bCs/>
          <w:color w:val="FF0000"/>
        </w:rPr>
      </w:pPr>
      <w:r w:rsidRPr="00C22DF4">
        <w:rPr>
          <w:b/>
          <w:bCs/>
          <w:color w:val="FF0000"/>
        </w:rPr>
        <w:t>Redaksjonskomiteens innstilling: Tas til følge. “stabile” strykes.</w:t>
      </w:r>
    </w:p>
    <w:p w14:paraId="4F0D371E" w14:textId="77777777" w:rsidR="00C22DF4" w:rsidRPr="00C22DF4" w:rsidRDefault="00C22DF4" w:rsidP="00C22DF4">
      <w:pPr>
        <w:rPr>
          <w:b/>
          <w:bCs/>
        </w:rPr>
      </w:pPr>
      <w:r w:rsidRPr="00C22DF4">
        <w:rPr>
          <w:b/>
          <w:bCs/>
        </w:rPr>
        <w:br/>
      </w:r>
    </w:p>
    <w:p w14:paraId="49084760" w14:textId="77777777" w:rsidR="00C22DF4" w:rsidRPr="00C22DF4" w:rsidRDefault="00C22DF4" w:rsidP="00C22DF4">
      <w:pPr>
        <w:numPr>
          <w:ilvl w:val="0"/>
          <w:numId w:val="4"/>
        </w:numPr>
        <w:rPr>
          <w:b/>
          <w:bCs/>
        </w:rPr>
      </w:pPr>
      <w:r w:rsidRPr="00C22DF4">
        <w:rPr>
          <w:b/>
          <w:bCs/>
        </w:rPr>
        <w:t>Per Rune Henriksen</w:t>
      </w:r>
    </w:p>
    <w:p w14:paraId="5DA700AB" w14:textId="77777777" w:rsidR="00C22DF4" w:rsidRPr="00C22DF4" w:rsidRDefault="00C22DF4" w:rsidP="00C22DF4">
      <w:pPr>
        <w:numPr>
          <w:ilvl w:val="1"/>
          <w:numId w:val="5"/>
        </w:numPr>
        <w:rPr>
          <w:b/>
          <w:bCs/>
        </w:rPr>
      </w:pPr>
      <w:r w:rsidRPr="00C22DF4">
        <w:rPr>
          <w:b/>
          <w:bCs/>
        </w:rPr>
        <w:t>Linje 266: Nytt kulepunkt: Støtte utbygging av ny kraftproduksjon for å møte industriens behov for kraft til konkurransedyktig pris.</w:t>
      </w:r>
    </w:p>
    <w:p w14:paraId="6AD1954F" w14:textId="77777777" w:rsidR="00C22DF4" w:rsidRPr="00C22DF4" w:rsidRDefault="00C22DF4" w:rsidP="00C22DF4">
      <w:pPr>
        <w:numPr>
          <w:ilvl w:val="1"/>
          <w:numId w:val="6"/>
        </w:numPr>
        <w:rPr>
          <w:b/>
          <w:bCs/>
          <w:color w:val="FF0000"/>
        </w:rPr>
      </w:pPr>
      <w:r w:rsidRPr="00C22DF4">
        <w:rPr>
          <w:b/>
          <w:bCs/>
          <w:color w:val="FF0000"/>
        </w:rPr>
        <w:t>Redaksjonskomiteens innstilling: Tas til følge. Legges inn som nytt ekstra kulepunkt i uttalelsen.</w:t>
      </w:r>
    </w:p>
    <w:p w14:paraId="0559D4D7" w14:textId="77777777" w:rsidR="00C22DF4" w:rsidRPr="00C22DF4" w:rsidRDefault="00C22DF4" w:rsidP="00C22DF4">
      <w:pPr>
        <w:rPr>
          <w:b/>
          <w:bCs/>
        </w:rPr>
      </w:pPr>
      <w:r w:rsidRPr="00C22DF4">
        <w:rPr>
          <w:b/>
          <w:bCs/>
        </w:rPr>
        <w:br/>
      </w:r>
    </w:p>
    <w:p w14:paraId="6246E730" w14:textId="77777777" w:rsidR="00C22DF4" w:rsidRPr="00C22DF4" w:rsidRDefault="00C22DF4" w:rsidP="00C22DF4">
      <w:pPr>
        <w:numPr>
          <w:ilvl w:val="0"/>
          <w:numId w:val="7"/>
        </w:numPr>
        <w:rPr>
          <w:b/>
          <w:bCs/>
        </w:rPr>
      </w:pPr>
      <w:r w:rsidRPr="00C22DF4">
        <w:rPr>
          <w:b/>
          <w:bCs/>
        </w:rPr>
        <w:t>Per Rune Henriksen</w:t>
      </w:r>
    </w:p>
    <w:p w14:paraId="55200749" w14:textId="77777777" w:rsidR="00C22DF4" w:rsidRPr="00C22DF4" w:rsidRDefault="00C22DF4" w:rsidP="00C22DF4">
      <w:pPr>
        <w:numPr>
          <w:ilvl w:val="1"/>
          <w:numId w:val="8"/>
        </w:numPr>
        <w:rPr>
          <w:b/>
          <w:bCs/>
        </w:rPr>
      </w:pPr>
      <w:r w:rsidRPr="00C22DF4">
        <w:rPr>
          <w:b/>
          <w:bCs/>
        </w:rPr>
        <w:t>Linje 256-259: Stryke Vi støtter regjeringens utredning av kjernekraft og resten av setningen, samt siste setning på linje 258 og 259.</w:t>
      </w:r>
    </w:p>
    <w:p w14:paraId="48C4561C" w14:textId="77777777" w:rsidR="00C22DF4" w:rsidRPr="00C22DF4" w:rsidRDefault="00C22DF4" w:rsidP="00C22DF4">
      <w:pPr>
        <w:numPr>
          <w:ilvl w:val="1"/>
          <w:numId w:val="9"/>
        </w:numPr>
        <w:rPr>
          <w:b/>
          <w:bCs/>
          <w:color w:val="FF0000"/>
        </w:rPr>
      </w:pPr>
      <w:r w:rsidRPr="00C22DF4">
        <w:rPr>
          <w:b/>
          <w:bCs/>
          <w:color w:val="FF0000"/>
        </w:rPr>
        <w:t>Redaksjonskomiteens innstilling: Avvises. Red.kom innstiller  på nåværende ordlyd.</w:t>
      </w:r>
    </w:p>
    <w:p w14:paraId="2F283ACD" w14:textId="77777777" w:rsidR="00C22DF4" w:rsidRPr="00C22DF4" w:rsidRDefault="00C22DF4" w:rsidP="00C22DF4">
      <w:pPr>
        <w:rPr>
          <w:b/>
          <w:bCs/>
        </w:rPr>
      </w:pPr>
      <w:r w:rsidRPr="00C22DF4">
        <w:rPr>
          <w:b/>
          <w:bCs/>
        </w:rPr>
        <w:br/>
      </w:r>
    </w:p>
    <w:p w14:paraId="3564A104" w14:textId="77777777" w:rsidR="00C22DF4" w:rsidRPr="00C22DF4" w:rsidRDefault="00C22DF4" w:rsidP="00C22DF4">
      <w:pPr>
        <w:numPr>
          <w:ilvl w:val="0"/>
          <w:numId w:val="10"/>
        </w:numPr>
        <w:rPr>
          <w:b/>
          <w:bCs/>
        </w:rPr>
      </w:pPr>
      <w:r w:rsidRPr="00C22DF4">
        <w:rPr>
          <w:b/>
          <w:bCs/>
        </w:rPr>
        <w:t>Ingjald Pilskog</w:t>
      </w:r>
    </w:p>
    <w:p w14:paraId="7081E86C" w14:textId="77777777" w:rsidR="00C22DF4" w:rsidRPr="00C22DF4" w:rsidRDefault="00C22DF4" w:rsidP="00C22DF4">
      <w:pPr>
        <w:numPr>
          <w:ilvl w:val="1"/>
          <w:numId w:val="11"/>
        </w:numPr>
        <w:rPr>
          <w:b/>
          <w:bCs/>
        </w:rPr>
      </w:pPr>
      <w:r w:rsidRPr="00C22DF4">
        <w:rPr>
          <w:b/>
          <w:bCs/>
        </w:rPr>
        <w:t>Linje 251 og 271: På linje 251, stryk leddsetning «med små modulære reaktorer». På linje 271, stryk ordene «bruk av små modulære».</w:t>
      </w:r>
    </w:p>
    <w:p w14:paraId="42BE6C7F" w14:textId="77777777" w:rsidR="00C22DF4" w:rsidRPr="00C22DF4" w:rsidRDefault="00C22DF4" w:rsidP="00C22DF4">
      <w:pPr>
        <w:numPr>
          <w:ilvl w:val="1"/>
          <w:numId w:val="12"/>
        </w:numPr>
        <w:rPr>
          <w:b/>
          <w:bCs/>
          <w:color w:val="FF0000"/>
        </w:rPr>
      </w:pPr>
      <w:r w:rsidRPr="00C22DF4">
        <w:rPr>
          <w:b/>
          <w:bCs/>
          <w:color w:val="FF0000"/>
        </w:rPr>
        <w:lastRenderedPageBreak/>
        <w:t>Redaksjonskomiteens innstilling: Avvises. Red.kom innstiller på nåværede ordlyd.</w:t>
      </w:r>
    </w:p>
    <w:p w14:paraId="26AB2509" w14:textId="77777777" w:rsidR="00C22DF4" w:rsidRDefault="00C22DF4">
      <w:pPr>
        <w:rPr>
          <w:b/>
          <w:bCs/>
        </w:rPr>
      </w:pPr>
    </w:p>
    <w:p w14:paraId="733A3EBA" w14:textId="4D2629D3" w:rsidR="00C22DF4" w:rsidRPr="00C22DF4" w:rsidRDefault="00C22DF4">
      <w:pPr>
        <w:rPr>
          <w:b/>
          <w:bCs/>
          <w:u w:val="single"/>
        </w:rPr>
      </w:pPr>
      <w:r w:rsidRPr="00C22DF4">
        <w:rPr>
          <w:b/>
          <w:bCs/>
          <w:u w:val="single"/>
        </w:rPr>
        <w:t>Forslag 70:</w:t>
      </w:r>
    </w:p>
    <w:p w14:paraId="5C419FCD" w14:textId="77777777" w:rsidR="00C22DF4" w:rsidRPr="00C22DF4" w:rsidRDefault="00C22DF4" w:rsidP="00C22DF4">
      <w:pPr>
        <w:rPr>
          <w:b/>
          <w:bCs/>
        </w:rPr>
      </w:pPr>
      <w:r w:rsidRPr="00C22DF4">
        <w:rPr>
          <w:b/>
          <w:bCs/>
        </w:rPr>
        <w:t>ENDRINGSFORSLAG:</w:t>
      </w:r>
    </w:p>
    <w:p w14:paraId="5C9C583C" w14:textId="77777777" w:rsidR="00C22DF4" w:rsidRPr="00C22DF4" w:rsidRDefault="00C22DF4" w:rsidP="00C22DF4">
      <w:pPr>
        <w:numPr>
          <w:ilvl w:val="0"/>
          <w:numId w:val="13"/>
        </w:numPr>
        <w:rPr>
          <w:b/>
          <w:bCs/>
        </w:rPr>
      </w:pPr>
      <w:r w:rsidRPr="00C22DF4">
        <w:rPr>
          <w:b/>
          <w:bCs/>
        </w:rPr>
        <w:t>Ingjald Pilskog</w:t>
      </w:r>
    </w:p>
    <w:p w14:paraId="74F1CAB0" w14:textId="77777777" w:rsidR="00C22DF4" w:rsidRPr="00C22DF4" w:rsidRDefault="00C22DF4" w:rsidP="00C22DF4">
      <w:pPr>
        <w:numPr>
          <w:ilvl w:val="1"/>
          <w:numId w:val="14"/>
        </w:numPr>
        <w:rPr>
          <w:b/>
          <w:bCs/>
        </w:rPr>
      </w:pPr>
      <w:r w:rsidRPr="00C22DF4">
        <w:rPr>
          <w:b/>
          <w:bCs/>
        </w:rPr>
        <w:t>Linje 525: 1) heve presisjonen i forslagets ordlyd ved endre «hvert skoletrinn» til «hvert hovedkompetansenivå»</w:t>
      </w:r>
    </w:p>
    <w:p w14:paraId="7AF9BA6B" w14:textId="77777777" w:rsidR="00C22DF4" w:rsidRPr="00C22DF4" w:rsidRDefault="00C22DF4" w:rsidP="00C22DF4">
      <w:pPr>
        <w:numPr>
          <w:ilvl w:val="1"/>
          <w:numId w:val="15"/>
        </w:numPr>
        <w:rPr>
          <w:b/>
          <w:bCs/>
        </w:rPr>
      </w:pPr>
    </w:p>
    <w:p w14:paraId="59719E12" w14:textId="77777777" w:rsidR="00C22DF4" w:rsidRPr="00C22DF4" w:rsidRDefault="00C22DF4" w:rsidP="00C22DF4">
      <w:pPr>
        <w:numPr>
          <w:ilvl w:val="1"/>
          <w:numId w:val="16"/>
        </w:numPr>
        <w:rPr>
          <w:b/>
          <w:bCs/>
        </w:rPr>
      </w:pPr>
      <w:r w:rsidRPr="00C22DF4">
        <w:rPr>
          <w:b/>
          <w:bCs/>
        </w:rPr>
        <w:t>Paradoksalt at forslaget er avvist. Dette er en videreutvikling av gjeldende politikk og gjennomføres et stykke på vei som forslag fra utdanningsministeren gjennom «leseløftet». Det bør vi heie frem!</w:t>
      </w:r>
    </w:p>
    <w:p w14:paraId="76C9F479" w14:textId="77777777" w:rsidR="00C22DF4" w:rsidRPr="00C22DF4" w:rsidRDefault="00C22DF4" w:rsidP="00C22DF4">
      <w:pPr>
        <w:numPr>
          <w:ilvl w:val="1"/>
          <w:numId w:val="17"/>
        </w:numPr>
        <w:rPr>
          <w:b/>
          <w:bCs/>
          <w:color w:val="FF0000"/>
        </w:rPr>
      </w:pPr>
      <w:r w:rsidRPr="00C22DF4">
        <w:rPr>
          <w:b/>
          <w:bCs/>
          <w:color w:val="FF0000"/>
        </w:rPr>
        <w:t>Redaksjonskomiteens innstilling: Avvises</w:t>
      </w:r>
    </w:p>
    <w:p w14:paraId="69D9CD57" w14:textId="77777777" w:rsidR="00C22DF4" w:rsidRPr="00C22DF4" w:rsidRDefault="00C22DF4">
      <w:pPr>
        <w:rPr>
          <w:b/>
          <w:bCs/>
        </w:rPr>
      </w:pPr>
    </w:p>
    <w:p w14:paraId="666D56BE" w14:textId="51CB5991" w:rsidR="00C22DF4" w:rsidRPr="00C22DF4" w:rsidRDefault="00C22DF4">
      <w:pPr>
        <w:rPr>
          <w:b/>
          <w:bCs/>
          <w:u w:val="single"/>
        </w:rPr>
      </w:pPr>
      <w:r w:rsidRPr="00C22DF4">
        <w:rPr>
          <w:b/>
          <w:bCs/>
          <w:u w:val="single"/>
        </w:rPr>
        <w:t>Forslag 75:</w:t>
      </w:r>
    </w:p>
    <w:p w14:paraId="390AA659" w14:textId="77777777" w:rsidR="00C22DF4" w:rsidRPr="00C22DF4" w:rsidRDefault="00C22DF4" w:rsidP="00C22DF4">
      <w:pPr>
        <w:rPr>
          <w:color w:val="FF0000"/>
        </w:rPr>
      </w:pPr>
      <w:r w:rsidRPr="00C22DF4">
        <w:rPr>
          <w:b/>
          <w:bCs/>
          <w:color w:val="FF0000"/>
        </w:rPr>
        <w:t>Redaksjonskomiteens innstilling: Ivaretas i med omformulert ordlyd (nytt forslag R8)</w:t>
      </w:r>
    </w:p>
    <w:p w14:paraId="689C643E" w14:textId="77777777" w:rsidR="00C22DF4" w:rsidRPr="00C22DF4" w:rsidRDefault="00C22DF4" w:rsidP="00C22DF4">
      <w:r w:rsidRPr="00C22DF4">
        <w:rPr>
          <w:b/>
          <w:bCs/>
        </w:rPr>
        <w:t>Forslag R8</w:t>
      </w:r>
    </w:p>
    <w:p w14:paraId="52BE9C67" w14:textId="77777777" w:rsidR="00C22DF4" w:rsidRPr="00C22DF4" w:rsidRDefault="00C22DF4" w:rsidP="00C22DF4">
      <w:r w:rsidRPr="00C22DF4">
        <w:t>Bergen AUF vil, i tråd med gjeldende politikk, Lekser-Idrett-Mat (LIM), oppfordre skoler til aktivt samarbeid med fritidsklubber.                                                                                                                                                                                                                    </w:t>
      </w:r>
    </w:p>
    <w:p w14:paraId="7582FB40" w14:textId="77777777" w:rsidR="00C22DF4" w:rsidRPr="00C22DF4" w:rsidRDefault="00C22DF4" w:rsidP="00C22DF4">
      <w:r w:rsidRPr="00C22DF4">
        <w:t>Bergen AUF ønsker at dette tilbudet skal tilbys alle skolebarn, for å fjerne det økonomiske aspektet ved idrettsdeltakelse for barn og unge, dette for å utjevne forskjeller og tilby alle barn en likere, mer aktiv hverdag. </w:t>
      </w:r>
    </w:p>
    <w:p w14:paraId="3CEDAC4E" w14:textId="77777777" w:rsidR="00C22DF4" w:rsidRPr="00C22DF4" w:rsidRDefault="00C22DF4" w:rsidP="00C22DF4"/>
    <w:p w14:paraId="04F7EF1A" w14:textId="77777777" w:rsidR="00C22DF4" w:rsidRPr="00C22DF4" w:rsidRDefault="00C22DF4" w:rsidP="00C22DF4">
      <w:r w:rsidRPr="00C22DF4">
        <w:rPr>
          <w:u w:val="single"/>
        </w:rPr>
        <w:t>Begrunnelse:</w:t>
      </w:r>
    </w:p>
    <w:p w14:paraId="369C65DA" w14:textId="77777777" w:rsidR="00C22DF4" w:rsidRPr="00C22DF4" w:rsidRDefault="00C22DF4" w:rsidP="00C22DF4">
      <w:r w:rsidRPr="00C22DF4">
        <w:t>Bergen AUF vil, i tråd med gjeldende politikk, Lekser-Idrett-Mat (LIM), oppfordre skoler til aktivt samarbeid med fritidsklubber.        </w:t>
      </w:r>
    </w:p>
    <w:p w14:paraId="28FC38E2" w14:textId="77777777" w:rsidR="00C22DF4" w:rsidRPr="00C22DF4" w:rsidRDefault="00C22DF4" w:rsidP="00C22DF4">
      <w:r w:rsidRPr="00C22DF4">
        <w:t>Bergen AUF ønsker at dette tilbudet skal tilbys alle skolebarn, for å fjerne det økonomiske aspektet ved idrettsdeltakelse for barn og unge, dette for å utjevne forskjeller og tilby alle barn en likere, mer aktiv hverdag.           </w:t>
      </w:r>
    </w:p>
    <w:p w14:paraId="6F1F0406" w14:textId="77777777" w:rsidR="00C22DF4" w:rsidRPr="00C22DF4" w:rsidRDefault="00C22DF4" w:rsidP="00C22DF4">
      <w:r w:rsidRPr="00C22DF4">
        <w:lastRenderedPageBreak/>
        <w:t xml:space="preserve"> I dag er barns deltakelse i idrett og fritidsaktiviteter ofte avhengig av foreldres økonomi og tid. Dette gjør at mange barn faller utenfor organiserte tilbud. Utenforskap i barne- og ungdomsårene forsterker sosiale forskjeller. Manglende deltakelse kan få konsekvenser for både fysisk og psykisk helse. Fysisk aktivitet er viktig for barns utvikling og trivsel. Aktivitet bidrar også til mestring og fellesskap. Mestring i idrett kan styrke elevenes selvtillit. Dette kan igjen påvirke motivasjon og læring positivt. Skolen er en naturlig arena for å nå alle barn. Når aktivitet skjer rett etter skoletid, senkes terskelen for deltakelse. En samarbeidsordning sikrer at ingen ekskluderes. Dette er særlig viktig for barn fra lavinntektsfamilier. Gratis deltakelse gir like muligheter for alle. Tiltaket vil bidra til bedre folkehelse og inkludering. </w:t>
      </w:r>
    </w:p>
    <w:p w14:paraId="5ACC6A31" w14:textId="77777777" w:rsidR="00C22DF4" w:rsidRDefault="00C22DF4"/>
    <w:p w14:paraId="3022ECCC" w14:textId="3604A290" w:rsidR="00C22DF4" w:rsidRPr="00C22DF4" w:rsidRDefault="00C22DF4" w:rsidP="00C22DF4">
      <w:r w:rsidRPr="00C22DF4">
        <w:rPr>
          <w:b/>
          <w:bCs/>
        </w:rPr>
        <w:t>NYE FORSLAG OVERSENDT REDAKSJONSKOMITEEN I MØTET:</w:t>
      </w:r>
    </w:p>
    <w:p w14:paraId="104A4BF1" w14:textId="6ADD33D8" w:rsidR="00C22DF4" w:rsidRPr="00C22DF4" w:rsidRDefault="00C22DF4" w:rsidP="00C22DF4">
      <w:r w:rsidRPr="00C22DF4">
        <w:rPr>
          <w:b/>
          <w:bCs/>
        </w:rPr>
        <w:t>Støttekomiteen for Vest-Sahara</w:t>
      </w:r>
    </w:p>
    <w:p w14:paraId="51DA415B" w14:textId="431AD4E3" w:rsidR="00C22DF4" w:rsidRPr="00C22DF4" w:rsidRDefault="00C22DF4" w:rsidP="00C22DF4">
      <w:r w:rsidRPr="00C22DF4">
        <w:t>En rekke organisasjoner som har basert driften sin på Norad sin informasjonsstøtte står nå i fare for å miste støtten sin.</w:t>
      </w:r>
    </w:p>
    <w:p w14:paraId="46E9A5BA" w14:textId="7765E632" w:rsidR="00C22DF4" w:rsidRPr="00C22DF4" w:rsidRDefault="00C22DF4" w:rsidP="00C22DF4">
      <w:r w:rsidRPr="00C22DF4">
        <w:t>En av disse er støttekomiteen for Vest-Sahara. De gjør en uvurderlig jobb både som interesse Vedorgnisasjon, men også med tanke på deres informasjonsarbeid i Norge. De jobber bredt, og samarbeider med alle de norske ungdomspartiene, og   holder også foredrag om okkupasjonen av Vest-Sahara på skoler over hele landet. </w:t>
      </w:r>
    </w:p>
    <w:p w14:paraId="4CE34155" w14:textId="1B3D1549" w:rsidR="00C22DF4" w:rsidRPr="00C22DF4" w:rsidRDefault="00C22DF4" w:rsidP="00C22DF4">
      <w:r w:rsidRPr="00C22DF4">
        <w:t>Støttekomiteen har også lang tradisjon for å være en sentral kunnskapsleverandør på feltet, og er blant annet de som står bak dataene som FNs generalsekretær sender til Sikkerhetsrådet, som EU-domstolen bruker i sine dommer og som finansinstitusjoner bruker i eierskapsdialoger. </w:t>
      </w:r>
    </w:p>
    <w:p w14:paraId="63E3AE5C" w14:textId="11665495" w:rsidR="00C22DF4" w:rsidRDefault="00C22DF4" w:rsidP="00C22DF4">
      <w:r w:rsidRPr="00C22DF4">
        <w:t>Arbeiderpartiet i Bergen gir sin fulle støtte til støttekomiteen for Vest-Sahara og forventer at regjeringen griper inn og sikrer videre drift av organisasjonen. </w:t>
      </w:r>
    </w:p>
    <w:p w14:paraId="0E88055A" w14:textId="77777777" w:rsidR="00C22DF4" w:rsidRPr="00C22DF4" w:rsidRDefault="00C22DF4" w:rsidP="00C22DF4"/>
    <w:p w14:paraId="30A4E6C0" w14:textId="77777777" w:rsidR="00C22DF4" w:rsidRPr="00C22DF4" w:rsidRDefault="00C22DF4" w:rsidP="00C22DF4">
      <w:pPr>
        <w:rPr>
          <w:color w:val="FF0000"/>
        </w:rPr>
      </w:pPr>
      <w:r w:rsidRPr="00C22DF4">
        <w:rPr>
          <w:b/>
          <w:bCs/>
          <w:color w:val="FF0000"/>
        </w:rPr>
        <w:t>Redaksjonskomiteens innstilling: Forslaget vedtas. Oversendes Utenriksdepartementet og Vestland Arbeiderparti</w:t>
      </w:r>
    </w:p>
    <w:p w14:paraId="413519BC" w14:textId="77777777" w:rsidR="00C22DF4" w:rsidRPr="00C22DF4" w:rsidRDefault="00C22DF4" w:rsidP="00C22DF4">
      <w:r w:rsidRPr="00C22DF4">
        <w:br/>
      </w:r>
      <w:r w:rsidRPr="00C22DF4">
        <w:br/>
      </w:r>
    </w:p>
    <w:p w14:paraId="44C7CB30" w14:textId="77777777" w:rsidR="00C22DF4" w:rsidRDefault="00C22DF4"/>
    <w:sectPr w:rsidR="00C22D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1814"/>
    <w:multiLevelType w:val="multilevel"/>
    <w:tmpl w:val="FA1A4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057230"/>
    <w:multiLevelType w:val="multilevel"/>
    <w:tmpl w:val="C928A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B71837"/>
    <w:multiLevelType w:val="multilevel"/>
    <w:tmpl w:val="49C0A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E853ED"/>
    <w:multiLevelType w:val="multilevel"/>
    <w:tmpl w:val="C2CA4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1A03B6"/>
    <w:multiLevelType w:val="multilevel"/>
    <w:tmpl w:val="2BA81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93491">
    <w:abstractNumId w:val="3"/>
  </w:num>
  <w:num w:numId="2" w16cid:durableId="901909155">
    <w:abstractNumId w:val="3"/>
    <w:lvlOverride w:ilvl="1">
      <w:lvl w:ilvl="1">
        <w:numFmt w:val="bullet"/>
        <w:lvlText w:val=""/>
        <w:lvlJc w:val="left"/>
        <w:pPr>
          <w:tabs>
            <w:tab w:val="num" w:pos="1440"/>
          </w:tabs>
          <w:ind w:left="1440" w:hanging="360"/>
        </w:pPr>
        <w:rPr>
          <w:rFonts w:ascii="Symbol" w:hAnsi="Symbol" w:hint="default"/>
          <w:sz w:val="20"/>
        </w:rPr>
      </w:lvl>
    </w:lvlOverride>
  </w:num>
  <w:num w:numId="3" w16cid:durableId="1456172736">
    <w:abstractNumId w:val="3"/>
    <w:lvlOverride w:ilvl="1">
      <w:lvl w:ilvl="1">
        <w:numFmt w:val="bullet"/>
        <w:lvlText w:val=""/>
        <w:lvlJc w:val="left"/>
        <w:pPr>
          <w:tabs>
            <w:tab w:val="num" w:pos="1440"/>
          </w:tabs>
          <w:ind w:left="1440" w:hanging="360"/>
        </w:pPr>
        <w:rPr>
          <w:rFonts w:ascii="Symbol" w:hAnsi="Symbol" w:hint="default"/>
          <w:sz w:val="20"/>
        </w:rPr>
      </w:lvl>
    </w:lvlOverride>
  </w:num>
  <w:num w:numId="4" w16cid:durableId="335810984">
    <w:abstractNumId w:val="0"/>
  </w:num>
  <w:num w:numId="5" w16cid:durableId="295305971">
    <w:abstractNumId w:val="0"/>
    <w:lvlOverride w:ilvl="1">
      <w:lvl w:ilvl="1">
        <w:numFmt w:val="bullet"/>
        <w:lvlText w:val=""/>
        <w:lvlJc w:val="left"/>
        <w:pPr>
          <w:tabs>
            <w:tab w:val="num" w:pos="1440"/>
          </w:tabs>
          <w:ind w:left="1440" w:hanging="360"/>
        </w:pPr>
        <w:rPr>
          <w:rFonts w:ascii="Symbol" w:hAnsi="Symbol" w:hint="default"/>
          <w:sz w:val="20"/>
        </w:rPr>
      </w:lvl>
    </w:lvlOverride>
  </w:num>
  <w:num w:numId="6" w16cid:durableId="42606229">
    <w:abstractNumId w:val="0"/>
    <w:lvlOverride w:ilvl="1">
      <w:lvl w:ilvl="1">
        <w:numFmt w:val="bullet"/>
        <w:lvlText w:val=""/>
        <w:lvlJc w:val="left"/>
        <w:pPr>
          <w:tabs>
            <w:tab w:val="num" w:pos="1440"/>
          </w:tabs>
          <w:ind w:left="1440" w:hanging="360"/>
        </w:pPr>
        <w:rPr>
          <w:rFonts w:ascii="Symbol" w:hAnsi="Symbol" w:hint="default"/>
          <w:sz w:val="20"/>
        </w:rPr>
      </w:lvl>
    </w:lvlOverride>
  </w:num>
  <w:num w:numId="7" w16cid:durableId="1522358118">
    <w:abstractNumId w:val="2"/>
  </w:num>
  <w:num w:numId="8" w16cid:durableId="1423575061">
    <w:abstractNumId w:val="2"/>
    <w:lvlOverride w:ilvl="1">
      <w:lvl w:ilvl="1">
        <w:numFmt w:val="bullet"/>
        <w:lvlText w:val=""/>
        <w:lvlJc w:val="left"/>
        <w:pPr>
          <w:tabs>
            <w:tab w:val="num" w:pos="1440"/>
          </w:tabs>
          <w:ind w:left="1440" w:hanging="360"/>
        </w:pPr>
        <w:rPr>
          <w:rFonts w:ascii="Symbol" w:hAnsi="Symbol" w:hint="default"/>
          <w:sz w:val="20"/>
        </w:rPr>
      </w:lvl>
    </w:lvlOverride>
  </w:num>
  <w:num w:numId="9" w16cid:durableId="1204438989">
    <w:abstractNumId w:val="2"/>
    <w:lvlOverride w:ilvl="1">
      <w:lvl w:ilvl="1">
        <w:numFmt w:val="bullet"/>
        <w:lvlText w:val=""/>
        <w:lvlJc w:val="left"/>
        <w:pPr>
          <w:tabs>
            <w:tab w:val="num" w:pos="1440"/>
          </w:tabs>
          <w:ind w:left="1440" w:hanging="360"/>
        </w:pPr>
        <w:rPr>
          <w:rFonts w:ascii="Symbol" w:hAnsi="Symbol" w:hint="default"/>
          <w:sz w:val="20"/>
        </w:rPr>
      </w:lvl>
    </w:lvlOverride>
  </w:num>
  <w:num w:numId="10" w16cid:durableId="1002703670">
    <w:abstractNumId w:val="4"/>
  </w:num>
  <w:num w:numId="11" w16cid:durableId="1083455061">
    <w:abstractNumId w:val="4"/>
    <w:lvlOverride w:ilvl="1">
      <w:lvl w:ilvl="1">
        <w:numFmt w:val="bullet"/>
        <w:lvlText w:val=""/>
        <w:lvlJc w:val="left"/>
        <w:pPr>
          <w:tabs>
            <w:tab w:val="num" w:pos="1440"/>
          </w:tabs>
          <w:ind w:left="1440" w:hanging="360"/>
        </w:pPr>
        <w:rPr>
          <w:rFonts w:ascii="Symbol" w:hAnsi="Symbol" w:hint="default"/>
          <w:sz w:val="20"/>
        </w:rPr>
      </w:lvl>
    </w:lvlOverride>
  </w:num>
  <w:num w:numId="12" w16cid:durableId="1171919465">
    <w:abstractNumId w:val="4"/>
    <w:lvlOverride w:ilvl="1">
      <w:lvl w:ilvl="1">
        <w:numFmt w:val="bullet"/>
        <w:lvlText w:val=""/>
        <w:lvlJc w:val="left"/>
        <w:pPr>
          <w:tabs>
            <w:tab w:val="num" w:pos="1440"/>
          </w:tabs>
          <w:ind w:left="1440" w:hanging="360"/>
        </w:pPr>
        <w:rPr>
          <w:rFonts w:ascii="Symbol" w:hAnsi="Symbol" w:hint="default"/>
          <w:sz w:val="20"/>
        </w:rPr>
      </w:lvl>
    </w:lvlOverride>
  </w:num>
  <w:num w:numId="13" w16cid:durableId="1879318938">
    <w:abstractNumId w:val="1"/>
  </w:num>
  <w:num w:numId="14" w16cid:durableId="1088040853">
    <w:abstractNumId w:val="1"/>
    <w:lvlOverride w:ilvl="1">
      <w:lvl w:ilvl="1">
        <w:numFmt w:val="bullet"/>
        <w:lvlText w:val=""/>
        <w:lvlJc w:val="left"/>
        <w:pPr>
          <w:tabs>
            <w:tab w:val="num" w:pos="1440"/>
          </w:tabs>
          <w:ind w:left="1440" w:hanging="360"/>
        </w:pPr>
        <w:rPr>
          <w:rFonts w:ascii="Symbol" w:hAnsi="Symbol" w:hint="default"/>
          <w:sz w:val="20"/>
        </w:rPr>
      </w:lvl>
    </w:lvlOverride>
  </w:num>
  <w:num w:numId="15" w16cid:durableId="910192725">
    <w:abstractNumId w:val="1"/>
    <w:lvlOverride w:ilvl="1">
      <w:lvl w:ilvl="1">
        <w:numFmt w:val="bullet"/>
        <w:lvlText w:val=""/>
        <w:lvlJc w:val="left"/>
        <w:pPr>
          <w:tabs>
            <w:tab w:val="num" w:pos="1440"/>
          </w:tabs>
          <w:ind w:left="1440" w:hanging="360"/>
        </w:pPr>
        <w:rPr>
          <w:rFonts w:ascii="Symbol" w:hAnsi="Symbol" w:hint="default"/>
          <w:sz w:val="20"/>
        </w:rPr>
      </w:lvl>
    </w:lvlOverride>
  </w:num>
  <w:num w:numId="16" w16cid:durableId="1936211509">
    <w:abstractNumId w:val="1"/>
    <w:lvlOverride w:ilvl="1">
      <w:lvl w:ilvl="1">
        <w:numFmt w:val="bullet"/>
        <w:lvlText w:val=""/>
        <w:lvlJc w:val="left"/>
        <w:pPr>
          <w:tabs>
            <w:tab w:val="num" w:pos="1440"/>
          </w:tabs>
          <w:ind w:left="1440" w:hanging="360"/>
        </w:pPr>
        <w:rPr>
          <w:rFonts w:ascii="Symbol" w:hAnsi="Symbol" w:hint="default"/>
          <w:sz w:val="20"/>
        </w:rPr>
      </w:lvl>
    </w:lvlOverride>
  </w:num>
  <w:num w:numId="17" w16cid:durableId="20400426">
    <w:abstractNumId w:val="1"/>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18D"/>
    <w:rsid w:val="0014318D"/>
    <w:rsid w:val="00704385"/>
    <w:rsid w:val="007842DC"/>
    <w:rsid w:val="007C169D"/>
    <w:rsid w:val="008E23FE"/>
    <w:rsid w:val="00A009F4"/>
    <w:rsid w:val="00AB37DD"/>
    <w:rsid w:val="00C22DF4"/>
    <w:rsid w:val="00E45160"/>
    <w:rsid w:val="00EE60F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8A818"/>
  <w15:chartTrackingRefBased/>
  <w15:docId w15:val="{6DCE8CD2-B257-4225-882C-7C766B42C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431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431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4318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4318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4318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4318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4318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4318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4318D"/>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14318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14318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14318D"/>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14318D"/>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14318D"/>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14318D"/>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14318D"/>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14318D"/>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14318D"/>
    <w:rPr>
      <w:rFonts w:eastAsiaTheme="majorEastAsia" w:cstheme="majorBidi"/>
      <w:color w:val="272727" w:themeColor="text1" w:themeTint="D8"/>
    </w:rPr>
  </w:style>
  <w:style w:type="paragraph" w:styleId="Tittel">
    <w:name w:val="Title"/>
    <w:basedOn w:val="Normal"/>
    <w:next w:val="Normal"/>
    <w:link w:val="TittelTegn"/>
    <w:uiPriority w:val="10"/>
    <w:qFormat/>
    <w:rsid w:val="001431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14318D"/>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14318D"/>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14318D"/>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14318D"/>
    <w:pPr>
      <w:spacing w:before="160"/>
      <w:jc w:val="center"/>
    </w:pPr>
    <w:rPr>
      <w:i/>
      <w:iCs/>
      <w:color w:val="404040" w:themeColor="text1" w:themeTint="BF"/>
    </w:rPr>
  </w:style>
  <w:style w:type="character" w:customStyle="1" w:styleId="SitatTegn">
    <w:name w:val="Sitat Tegn"/>
    <w:basedOn w:val="Standardskriftforavsnitt"/>
    <w:link w:val="Sitat"/>
    <w:uiPriority w:val="29"/>
    <w:rsid w:val="0014318D"/>
    <w:rPr>
      <w:i/>
      <w:iCs/>
      <w:color w:val="404040" w:themeColor="text1" w:themeTint="BF"/>
    </w:rPr>
  </w:style>
  <w:style w:type="paragraph" w:styleId="Listeavsnitt">
    <w:name w:val="List Paragraph"/>
    <w:basedOn w:val="Normal"/>
    <w:uiPriority w:val="34"/>
    <w:qFormat/>
    <w:rsid w:val="0014318D"/>
    <w:pPr>
      <w:ind w:left="720"/>
      <w:contextualSpacing/>
    </w:pPr>
  </w:style>
  <w:style w:type="character" w:styleId="Sterkutheving">
    <w:name w:val="Intense Emphasis"/>
    <w:basedOn w:val="Standardskriftforavsnitt"/>
    <w:uiPriority w:val="21"/>
    <w:qFormat/>
    <w:rsid w:val="0014318D"/>
    <w:rPr>
      <w:i/>
      <w:iCs/>
      <w:color w:val="0F4761" w:themeColor="accent1" w:themeShade="BF"/>
    </w:rPr>
  </w:style>
  <w:style w:type="paragraph" w:styleId="Sterktsitat">
    <w:name w:val="Intense Quote"/>
    <w:basedOn w:val="Normal"/>
    <w:next w:val="Normal"/>
    <w:link w:val="SterktsitatTegn"/>
    <w:uiPriority w:val="30"/>
    <w:qFormat/>
    <w:rsid w:val="001431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14318D"/>
    <w:rPr>
      <w:i/>
      <w:iCs/>
      <w:color w:val="0F4761" w:themeColor="accent1" w:themeShade="BF"/>
    </w:rPr>
  </w:style>
  <w:style w:type="character" w:styleId="Sterkreferanse">
    <w:name w:val="Intense Reference"/>
    <w:basedOn w:val="Standardskriftforavsnitt"/>
    <w:uiPriority w:val="32"/>
    <w:qFormat/>
    <w:rsid w:val="001431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b14945b-0f87-40dd-acf3-5e5e21e6eb36}" enabled="0" method="" siteId="{5b14945b-0f87-40dd-acf3-5e5e21e6eb36}"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702</Words>
  <Characters>3721</Characters>
  <Application>Microsoft Office Word</Application>
  <DocSecurity>0</DocSecurity>
  <Lines>31</Lines>
  <Paragraphs>8</Paragraphs>
  <ScaleCrop>false</ScaleCrop>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Gimse, Torgeir</dc:creator>
  <cp:keywords/>
  <dc:description/>
  <cp:lastModifiedBy>Stig Morten Frøiland</cp:lastModifiedBy>
  <cp:revision>4</cp:revision>
  <dcterms:created xsi:type="dcterms:W3CDTF">2026-02-07T13:36:00Z</dcterms:created>
  <dcterms:modified xsi:type="dcterms:W3CDTF">2026-02-07T14:29:00Z</dcterms:modified>
</cp:coreProperties>
</file>