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236" w:rsidRDefault="001F7236" w:rsidP="001F7236">
      <w:pPr>
        <w:rPr>
          <w:rFonts w:eastAsia="Times New Roman"/>
        </w:rPr>
      </w:pPr>
      <w:r>
        <w:rPr>
          <w:rFonts w:eastAsia="Times New Roman"/>
          <w:b/>
          <w:bCs/>
        </w:rPr>
        <w:t>Representantskapet i Finnmark og Troms Arbeiderparti vil gi følgende foreløpige innstilling til Arbeiderpartiets behandling av «Kvotemeldinga»:</w:t>
      </w:r>
    </w:p>
    <w:p w:rsidR="001F7236" w:rsidRDefault="001F7236" w:rsidP="001F7236">
      <w:pPr>
        <w:rPr>
          <w:rFonts w:eastAsia="Times New Roman"/>
        </w:rPr>
      </w:pPr>
    </w:p>
    <w:p w:rsidR="001F7236" w:rsidRDefault="001F7236" w:rsidP="001F7236">
      <w:pPr>
        <w:rPr>
          <w:rFonts w:eastAsia="Times New Roman"/>
        </w:rPr>
      </w:pPr>
      <w:r>
        <w:rPr>
          <w:rFonts w:eastAsia="Times New Roman"/>
        </w:rPr>
        <w:t>Framtidig utvikling av fiskerinæringa må sikre intensjonen i Deltakerloven, Havressursloven og Fiskesalgslagsloven. Fisken tilhører folket i fellesskap og skal bidra til aktivitet og bosetting langs hele kysten. Fiskerinæringa skal underlegges en bærekraftig forvaltning som stimulerer til rekruttering og lokalt eierskap.</w:t>
      </w:r>
    </w:p>
    <w:p w:rsidR="001F7236" w:rsidRDefault="001F7236" w:rsidP="001F7236">
      <w:pPr>
        <w:rPr>
          <w:rFonts w:eastAsia="Times New Roman"/>
        </w:rPr>
      </w:pPr>
    </w:p>
    <w:p w:rsidR="001F7236" w:rsidRDefault="001F7236" w:rsidP="001F7236">
      <w:pPr>
        <w:rPr>
          <w:rFonts w:eastAsia="Times New Roman"/>
        </w:rPr>
      </w:pPr>
      <w:r>
        <w:rPr>
          <w:rFonts w:eastAsia="Times New Roman"/>
          <w:b/>
          <w:bCs/>
        </w:rPr>
        <w:t>Finnmarksmodellen</w:t>
      </w:r>
    </w:p>
    <w:p w:rsidR="001F7236" w:rsidRDefault="001F7236" w:rsidP="001F7236">
      <w:pPr>
        <w:rPr>
          <w:rFonts w:eastAsia="Times New Roman"/>
        </w:rPr>
      </w:pPr>
      <w:r>
        <w:rPr>
          <w:rFonts w:eastAsia="Times New Roman"/>
        </w:rPr>
        <w:t>Finnmark og Troms Arbeiderparti ønsker en videreføring av Finnmarksmodellen. Den deler fiskeflåten inn i fire grupper: under 11 m, 11 – 15 m, 15 – 21 m og over 21 m. Representantskapet støtter forslaget om å gjeninnsette grensa på 28 m. Fartøyer over 28 m skal i reguleringssammenheng sees sammen med andre konvensjonelle havfiskefartøy. En avvikling av hjemmelslengdeordningen støttes og båtenes faktiske lengde bestemmer hvilken gruppe man hører til i. Etter opprydding låses gruppene på en slik måte at det ikke er mulig å flytte fartøy mellom gruppene.</w:t>
      </w:r>
    </w:p>
    <w:p w:rsidR="001F7236" w:rsidRDefault="001F7236" w:rsidP="001F7236">
      <w:pPr>
        <w:rPr>
          <w:rFonts w:eastAsia="Times New Roman"/>
        </w:rPr>
      </w:pPr>
    </w:p>
    <w:p w:rsidR="001F7236" w:rsidRDefault="001F7236" w:rsidP="001F7236">
      <w:pPr>
        <w:rPr>
          <w:rFonts w:eastAsia="Times New Roman"/>
        </w:rPr>
      </w:pPr>
      <w:r>
        <w:rPr>
          <w:rFonts w:eastAsia="Times New Roman"/>
          <w:b/>
          <w:bCs/>
        </w:rPr>
        <w:t>Kvoteordninger</w:t>
      </w:r>
    </w:p>
    <w:p w:rsidR="001F7236" w:rsidRDefault="001F7236" w:rsidP="001F7236">
      <w:pPr>
        <w:rPr>
          <w:rFonts w:eastAsia="Times New Roman"/>
        </w:rPr>
      </w:pPr>
      <w:r>
        <w:rPr>
          <w:rFonts w:eastAsia="Times New Roman"/>
        </w:rPr>
        <w:t xml:space="preserve">En overgang fra dagens system med årlige tildeling av totalkvoter og konsesjoner foreslås i meldingen erstattet med en ordning med </w:t>
      </w:r>
      <w:proofErr w:type="spellStart"/>
      <w:r>
        <w:rPr>
          <w:rFonts w:eastAsia="Times New Roman"/>
        </w:rPr>
        <w:t>flerårlige</w:t>
      </w:r>
      <w:proofErr w:type="spellEnd"/>
      <w:r>
        <w:rPr>
          <w:rFonts w:eastAsia="Times New Roman"/>
        </w:rPr>
        <w:t xml:space="preserve"> fiskeritillatelser. Dette støttes under forutsetning av at Staten når som helst kan trekke fiskeritillatelsene tilbake.</w:t>
      </w:r>
    </w:p>
    <w:p w:rsidR="001F7236" w:rsidRDefault="001F7236" w:rsidP="001F7236">
      <w:pPr>
        <w:rPr>
          <w:rFonts w:eastAsia="Times New Roman"/>
        </w:rPr>
      </w:pPr>
    </w:p>
    <w:p w:rsidR="001F7236" w:rsidRDefault="001F7236" w:rsidP="001F7236">
      <w:pPr>
        <w:rPr>
          <w:rFonts w:eastAsia="Times New Roman"/>
        </w:rPr>
      </w:pPr>
      <w:r>
        <w:rPr>
          <w:rFonts w:eastAsia="Times New Roman"/>
        </w:rPr>
        <w:t xml:space="preserve">Dagens strukturordning beholdes og tilbakeføring av strukturkvotene gjennomføres etter opprinnelige avtaler. Strukturkvotene skal tilbakeføres til de flåtegrupper kvotene kommer fra. </w:t>
      </w:r>
      <w:proofErr w:type="spellStart"/>
      <w:r>
        <w:rPr>
          <w:rFonts w:eastAsia="Times New Roman"/>
        </w:rPr>
        <w:t>Tidsavgrensing</w:t>
      </w:r>
      <w:proofErr w:type="spellEnd"/>
      <w:r>
        <w:rPr>
          <w:rFonts w:eastAsia="Times New Roman"/>
        </w:rPr>
        <w:t xml:space="preserve"> av strukturkvoter beholdes. </w:t>
      </w:r>
    </w:p>
    <w:p w:rsidR="001F7236" w:rsidRDefault="001F7236" w:rsidP="001F7236">
      <w:pPr>
        <w:rPr>
          <w:rFonts w:eastAsia="Times New Roman"/>
        </w:rPr>
      </w:pPr>
    </w:p>
    <w:p w:rsidR="001F7236" w:rsidRDefault="001F7236" w:rsidP="001F7236">
      <w:pPr>
        <w:rPr>
          <w:rFonts w:eastAsia="Times New Roman"/>
        </w:rPr>
      </w:pPr>
      <w:r>
        <w:rPr>
          <w:rFonts w:eastAsia="Times New Roman"/>
        </w:rPr>
        <w:t>Innføring av en utleieordning av fiskekvoter mot betaling til Staten oppfattes som en snikinnføring av ressursrente, noe representantskapet i Finnmark og Troms Arbeiderparti er imot.</w:t>
      </w:r>
    </w:p>
    <w:p w:rsidR="001F7236" w:rsidRDefault="001F7236" w:rsidP="001F7236">
      <w:pPr>
        <w:rPr>
          <w:rFonts w:eastAsia="Times New Roman"/>
        </w:rPr>
      </w:pPr>
    </w:p>
    <w:p w:rsidR="001F7236" w:rsidRDefault="001F7236" w:rsidP="001F7236">
      <w:pPr>
        <w:rPr>
          <w:rFonts w:eastAsia="Times New Roman"/>
        </w:rPr>
      </w:pPr>
      <w:proofErr w:type="spellStart"/>
      <w:r>
        <w:rPr>
          <w:rFonts w:eastAsia="Times New Roman"/>
          <w:b/>
          <w:bCs/>
        </w:rPr>
        <w:t>Trålstigen</w:t>
      </w:r>
      <w:proofErr w:type="spellEnd"/>
    </w:p>
    <w:p w:rsidR="001F7236" w:rsidRDefault="001F7236" w:rsidP="001F7236">
      <w:pPr>
        <w:rPr>
          <w:rFonts w:eastAsia="Times New Roman"/>
        </w:rPr>
      </w:pPr>
      <w:proofErr w:type="spellStart"/>
      <w:r>
        <w:rPr>
          <w:rFonts w:eastAsia="Times New Roman"/>
        </w:rPr>
        <w:t>Trålstigen</w:t>
      </w:r>
      <w:proofErr w:type="spellEnd"/>
      <w:r>
        <w:rPr>
          <w:rFonts w:eastAsia="Times New Roman"/>
        </w:rPr>
        <w:t>, som fordeler torskeressursene nord for 62. breddegrad har vært en viktig premiss i fordelingen mellom trålflåten og kystflåten. Representantskapet i Finnmark og Troms Arbeiderparti støtter en permanent kvotefordeling med 70 % til kystflåten og 30 % til trålerne. Frigitt kvantum av fisk legges til kvotegruppen for båter under 11 m i de lukkede fiskeriene. For 2019 ville dette gitt den minste flåtegruppen en økning av kvotene på over 5000 tonn torsk.</w:t>
      </w:r>
    </w:p>
    <w:p w:rsidR="001F7236" w:rsidRDefault="001F7236" w:rsidP="001F7236">
      <w:pPr>
        <w:rPr>
          <w:rFonts w:eastAsia="Times New Roman"/>
        </w:rPr>
      </w:pPr>
    </w:p>
    <w:p w:rsidR="001F7236" w:rsidRDefault="001F7236" w:rsidP="001F7236">
      <w:pPr>
        <w:rPr>
          <w:rFonts w:eastAsia="Times New Roman"/>
        </w:rPr>
      </w:pPr>
      <w:r>
        <w:rPr>
          <w:rFonts w:eastAsia="Times New Roman"/>
          <w:b/>
          <w:bCs/>
        </w:rPr>
        <w:t>Samfiskeordning</w:t>
      </w:r>
    </w:p>
    <w:p w:rsidR="001F7236" w:rsidRDefault="001F7236" w:rsidP="001F7236">
      <w:pPr>
        <w:rPr>
          <w:rFonts w:eastAsia="Times New Roman"/>
        </w:rPr>
      </w:pPr>
      <w:r>
        <w:rPr>
          <w:rFonts w:eastAsia="Times New Roman"/>
        </w:rPr>
        <w:t>Samfiskeordningen som har vært en midlertidig ordning, har utviklet seg til å bli en ren strukturordning for båter under 11 m, som vi er imot. Ordningen bør over noe tid avvikles. Regjeringas forslag om en næringsfinansiert kondemneringsordning kan være et virkemiddel for å få dette til, men er ikke tilstrekkelig. Nye og mer treffsikre tiltak må utvikles.</w:t>
      </w:r>
    </w:p>
    <w:p w:rsidR="001F7236" w:rsidRDefault="001F7236" w:rsidP="001F7236">
      <w:pPr>
        <w:rPr>
          <w:rFonts w:eastAsia="Times New Roman"/>
        </w:rPr>
      </w:pPr>
    </w:p>
    <w:p w:rsidR="001F7236" w:rsidRDefault="001F7236" w:rsidP="001F7236">
      <w:pPr>
        <w:rPr>
          <w:rFonts w:eastAsia="Times New Roman"/>
        </w:rPr>
      </w:pPr>
      <w:r>
        <w:rPr>
          <w:rFonts w:eastAsia="Times New Roman"/>
          <w:b/>
          <w:bCs/>
        </w:rPr>
        <w:t xml:space="preserve">Ressursgrunnlag og grupperinger </w:t>
      </w:r>
    </w:p>
    <w:p w:rsidR="001F7236" w:rsidRDefault="001F7236" w:rsidP="001F7236">
      <w:pPr>
        <w:rPr>
          <w:rFonts w:eastAsia="Times New Roman"/>
        </w:rPr>
      </w:pPr>
      <w:r>
        <w:rPr>
          <w:rFonts w:eastAsia="Times New Roman"/>
        </w:rPr>
        <w:t xml:space="preserve">Ressursgrunnlaget for åpen gruppe er under press. Mange selger seg ut av lukket gruppe med god fortjeneste for å etablere seg i den åpne gruppen. Det bør vurderes å dele åpen gruppe inn i aldergrupperinger for å sikre rekruttering, allmenn tilgjengelighet og mulighet for pensjonister. Gradering kan </w:t>
      </w:r>
      <w:proofErr w:type="gramStart"/>
      <w:r>
        <w:rPr>
          <w:rFonts w:eastAsia="Times New Roman"/>
        </w:rPr>
        <w:t>være:  en</w:t>
      </w:r>
      <w:proofErr w:type="gramEnd"/>
      <w:r>
        <w:rPr>
          <w:rFonts w:eastAsia="Times New Roman"/>
        </w:rPr>
        <w:t xml:space="preserve"> gruppe under 35 år, en for aldersgruppen 36 – 67 år og en for pensjonister.</w:t>
      </w:r>
    </w:p>
    <w:p w:rsidR="001F7236" w:rsidRDefault="001F7236" w:rsidP="001F7236">
      <w:pPr>
        <w:rPr>
          <w:rFonts w:eastAsia="Times New Roman"/>
        </w:rPr>
      </w:pPr>
    </w:p>
    <w:p w:rsidR="001F7236" w:rsidRDefault="001F7236" w:rsidP="001F7236">
      <w:pPr>
        <w:rPr>
          <w:rFonts w:eastAsia="Times New Roman"/>
        </w:rPr>
      </w:pPr>
      <w:r>
        <w:rPr>
          <w:rFonts w:eastAsia="Times New Roman"/>
        </w:rPr>
        <w:t xml:space="preserve">Ulike rekrutteringsordninger bør utredes. En rekrutteringsgruppe kan for eksempel </w:t>
      </w:r>
      <w:r>
        <w:rPr>
          <w:rFonts w:eastAsia="Times New Roman"/>
          <w:u w:val="single"/>
        </w:rPr>
        <w:t>ha 100</w:t>
      </w:r>
      <w:r>
        <w:rPr>
          <w:rFonts w:eastAsia="Times New Roman"/>
        </w:rPr>
        <w:t xml:space="preserve"> % tilgang, den allmenne gruppa for eksempel 60 % tilgang og pensjonistgruppa for eksempel 40 %. </w:t>
      </w:r>
    </w:p>
    <w:p w:rsidR="001F7236" w:rsidRDefault="001F7236" w:rsidP="001F7236">
      <w:pPr>
        <w:rPr>
          <w:rFonts w:eastAsia="Times New Roman"/>
        </w:rPr>
      </w:pPr>
    </w:p>
    <w:p w:rsidR="001F7236" w:rsidRDefault="001F7236" w:rsidP="001F7236">
      <w:pPr>
        <w:rPr>
          <w:rFonts w:eastAsia="Times New Roman"/>
        </w:rPr>
      </w:pPr>
      <w:r>
        <w:rPr>
          <w:rFonts w:eastAsia="Times New Roman"/>
          <w:b/>
          <w:bCs/>
        </w:rPr>
        <w:t>Pliktsystemet</w:t>
      </w:r>
    </w:p>
    <w:p w:rsidR="001F7236" w:rsidRDefault="001F7236" w:rsidP="001F7236">
      <w:pPr>
        <w:rPr>
          <w:rFonts w:eastAsia="Times New Roman"/>
        </w:rPr>
      </w:pPr>
      <w:r>
        <w:rPr>
          <w:rFonts w:eastAsia="Times New Roman"/>
        </w:rPr>
        <w:lastRenderedPageBreak/>
        <w:t>Pliktsystemet må opprettholdes og forsterkes. Bearbeidingsplikten må gjøres fleksibel i forhold til hvilke produkter som skal produseres og med en romslig rapporteringsrutine. Hensikten er å styrke bearbeidingsgraden i Norge, på en fleksibel måte og i tråd med bedriftenes muligheter. Vi bør se nærmere på ordninger som stimulerer bruken av fersk fisk og mindre bruk av frossen ubearbeidet fisk til eksport. Aktivitetsplikten skal opprettholdes som i dag.</w:t>
      </w:r>
    </w:p>
    <w:p w:rsidR="001F7236" w:rsidRDefault="001F7236" w:rsidP="001F7236">
      <w:pPr>
        <w:rPr>
          <w:rFonts w:eastAsia="Times New Roman"/>
        </w:rPr>
      </w:pPr>
    </w:p>
    <w:p w:rsidR="001F7236" w:rsidRDefault="001F7236" w:rsidP="001F7236">
      <w:pPr>
        <w:rPr>
          <w:rFonts w:eastAsia="Times New Roman"/>
        </w:rPr>
      </w:pPr>
      <w:r>
        <w:rPr>
          <w:rFonts w:eastAsia="Times New Roman"/>
          <w:b/>
          <w:bCs/>
        </w:rPr>
        <w:t>Klimaavtrykk</w:t>
      </w:r>
    </w:p>
    <w:p w:rsidR="001F7236" w:rsidRDefault="001F7236" w:rsidP="001F7236">
      <w:pPr>
        <w:rPr>
          <w:rFonts w:eastAsia="Times New Roman"/>
        </w:rPr>
      </w:pPr>
      <w:r>
        <w:rPr>
          <w:rFonts w:eastAsia="Times New Roman"/>
        </w:rPr>
        <w:t>Norsk fiskeriforvaltning trekkes fram av FN som en av verdens mest bærekraftige forvaltning. Klimaendringene påvirker også fiskerinæringen. For å sikre en bærekraftig og fremtidsrettet produksjon må både næringen, markedet og politikerne samarbeide for å finne de beste løsningene. Fiskeflåten må ta del i det grønne skiftet med overgang til mer miljøvennlige driftsformer. </w:t>
      </w:r>
    </w:p>
    <w:p w:rsidR="001F7236" w:rsidRDefault="001F7236" w:rsidP="001F7236">
      <w:pPr>
        <w:rPr>
          <w:rFonts w:eastAsia="Times New Roman"/>
        </w:rPr>
      </w:pPr>
    </w:p>
    <w:p w:rsidR="00455701" w:rsidRDefault="00455701">
      <w:bookmarkStart w:id="0" w:name="_GoBack"/>
      <w:bookmarkEnd w:id="0"/>
    </w:p>
    <w:sectPr w:rsidR="004557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236"/>
    <w:rsid w:val="001F7236"/>
    <w:rsid w:val="004557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48E90-68CF-4FDC-88F0-D44C10441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7236"/>
    <w:pPr>
      <w:spacing w:after="0" w:line="240" w:lineRule="auto"/>
    </w:pPr>
    <w:rPr>
      <w:rFonts w:ascii="Calibri" w:hAnsi="Calibri" w:cs="Calibri"/>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34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3412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Randi Lillegård</dc:creator>
  <cp:keywords/>
  <dc:description/>
  <cp:lastModifiedBy>Randi Lillegård</cp:lastModifiedBy>
  <cp:revision>1</cp:revision>
  <dcterms:created xsi:type="dcterms:W3CDTF">2019-09-29T08:29:00Z</dcterms:created>
  <dcterms:modified xsi:type="dcterms:W3CDTF">2019-09-29T08:30:00Z</dcterms:modified>
</cp:coreProperties>
</file>