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0E" w:rsidRDefault="00D1240E" w:rsidP="00D1240E">
      <w:pPr>
        <w:pStyle w:val="SpecContactInfo"/>
      </w:pPr>
      <w:r>
        <w:t>Middle Atlantic Products, Inc.</w:t>
      </w:r>
      <w:r>
        <w:tab/>
      </w:r>
      <w:r w:rsidR="008C272F">
        <w:t>May</w:t>
      </w:r>
      <w:r w:rsidR="00365378">
        <w:t xml:space="preserve"> </w:t>
      </w:r>
      <w:r>
        <w:t>20</w:t>
      </w:r>
      <w:r w:rsidR="008C272F">
        <w:t>13</w:t>
      </w:r>
    </w:p>
    <w:p w:rsidR="00D1240E" w:rsidRDefault="00D1240E" w:rsidP="00D1240E">
      <w:pPr>
        <w:pStyle w:val="SpecContactInfo"/>
      </w:pPr>
      <w:r>
        <w:t>Phone</w:t>
      </w:r>
      <w:r>
        <w:tab/>
        <w:t>(973) 839-1011</w:t>
      </w:r>
    </w:p>
    <w:p w:rsidR="00D1240E" w:rsidRDefault="00D1240E" w:rsidP="00D1240E">
      <w:pPr>
        <w:pStyle w:val="SpecContactInfo"/>
      </w:pPr>
      <w:r>
        <w:t>Fax</w:t>
      </w:r>
      <w:r>
        <w:tab/>
        <w:t>(973) 839-1976</w:t>
      </w:r>
    </w:p>
    <w:p w:rsidR="00D1240E" w:rsidRDefault="00D1240E" w:rsidP="00D1240E">
      <w:pPr>
        <w:pStyle w:val="SpecContactInfo"/>
      </w:pPr>
      <w:r>
        <w:t>Website</w:t>
      </w:r>
      <w:r>
        <w:tab/>
      </w:r>
      <w:hyperlink r:id="rId7" w:history="1">
        <w:r w:rsidRPr="00A3757A">
          <w:rPr>
            <w:rStyle w:val="Hyperlink"/>
            <w:szCs w:val="24"/>
          </w:rPr>
          <w:t>middleatlantic.com</w:t>
        </w:r>
      </w:hyperlink>
    </w:p>
    <w:p w:rsidR="00D1240E" w:rsidRDefault="00D1240E" w:rsidP="00D1240E">
      <w:pPr>
        <w:pStyle w:val="SpecContactInfo"/>
      </w:pPr>
      <w:r>
        <w:t>E-mail</w:t>
      </w:r>
      <w:r>
        <w:tab/>
        <w:t>info</w:t>
      </w:r>
      <w:hyperlink r:id="rId8" w:history="1">
        <w:r>
          <w:rPr>
            <w:rStyle w:val="Hyperlink"/>
            <w:szCs w:val="24"/>
          </w:rPr>
          <w:t>@middleatlantic.com</w:t>
        </w:r>
      </w:hyperlink>
    </w:p>
    <w:p w:rsidR="001741D8" w:rsidRDefault="001741D8" w:rsidP="001741D8">
      <w:pPr>
        <w:pStyle w:val="SpecContactInfo"/>
      </w:pPr>
    </w:p>
    <w:p w:rsidR="001741D8" w:rsidRDefault="001741D8" w:rsidP="001741D8">
      <w:pPr>
        <w:pStyle w:val="SpecContactInfo"/>
      </w:pPr>
    </w:p>
    <w:p w:rsidR="001741D8" w:rsidRDefault="001741D8" w:rsidP="001741D8">
      <w:pPr>
        <w:pStyle w:val="SpecHeading1"/>
      </w:pPr>
      <w:r>
        <w:t>Product Guide Specification</w:t>
      </w:r>
    </w:p>
    <w:p w:rsidR="001741D8" w:rsidRDefault="001741D8" w:rsidP="001741D8"/>
    <w:p w:rsidR="001741D8" w:rsidRDefault="001741D8" w:rsidP="001741D8"/>
    <w:p w:rsidR="00412DE2" w:rsidRDefault="001741D8" w:rsidP="001741D8">
      <w:pPr>
        <w:pStyle w:val="SpecSpecifierNotes0"/>
        <w:rPr>
          <w:i/>
        </w:rPr>
      </w:pPr>
      <w:r>
        <w:t>Specifier Notes:  This product guide specification is written according to the Construction Specifications Institute (CSI) 3-Part Format</w:t>
      </w:r>
      <w:r w:rsidR="00412DE2">
        <w:t>,</w:t>
      </w:r>
      <w:r>
        <w:t xml:space="preserve"> </w:t>
      </w:r>
      <w:r w:rsidR="003E78B8">
        <w:t xml:space="preserve">including </w:t>
      </w:r>
      <w:r w:rsidR="003E78B8" w:rsidRPr="003E78B8">
        <w:rPr>
          <w:i/>
        </w:rPr>
        <w:t>MasterFormat, SectionFormat,</w:t>
      </w:r>
      <w:r w:rsidR="003E78B8">
        <w:t xml:space="preserve"> and </w:t>
      </w:r>
      <w:r w:rsidR="003E78B8" w:rsidRPr="003E78B8">
        <w:rPr>
          <w:i/>
        </w:rPr>
        <w:t>PageFormat,</w:t>
      </w:r>
      <w:r w:rsidR="003E78B8">
        <w:t xml:space="preserve"> </w:t>
      </w:r>
      <w:r>
        <w:t xml:space="preserve">as described in </w:t>
      </w:r>
      <w:r w:rsidRPr="001548A9">
        <w:rPr>
          <w:i/>
        </w:rPr>
        <w:t>The Project Resource Manual</w:t>
      </w:r>
      <w:r w:rsidR="00412DE2">
        <w:rPr>
          <w:rFonts w:cs="Arial"/>
          <w:i/>
        </w:rPr>
        <w:t>—</w:t>
      </w:r>
      <w:r w:rsidRPr="001548A9">
        <w:rPr>
          <w:i/>
        </w:rPr>
        <w:t>CSI Manual of Practice.</w:t>
      </w:r>
    </w:p>
    <w:p w:rsidR="00412DE2" w:rsidRDefault="00412DE2" w:rsidP="001741D8">
      <w:pPr>
        <w:pStyle w:val="SpecSpecifierNotes0"/>
      </w:pPr>
    </w:p>
    <w:p w:rsidR="001741D8" w:rsidRDefault="001741D8" w:rsidP="001741D8">
      <w:pPr>
        <w:pStyle w:val="SpecSpecifierNotes0"/>
      </w:pPr>
      <w:r>
        <w:t xml:space="preserve">The section must be carefully reviewed and edited by the Architect </w:t>
      </w:r>
      <w:r w:rsidR="00D16D18">
        <w:t xml:space="preserve">or Engineer </w:t>
      </w:r>
      <w:r>
        <w:t>to meet the requirements of the project and local building code.  Coordinate this section with other specification sections and the Drawings.  Delete all “Specifier Notes” when editing this section.</w:t>
      </w:r>
    </w:p>
    <w:p w:rsidR="001741D8" w:rsidRDefault="001741D8" w:rsidP="001741D8">
      <w:pPr>
        <w:pStyle w:val="SpecSpecifierNotes0"/>
      </w:pPr>
    </w:p>
    <w:p w:rsidR="001F3350" w:rsidRDefault="001F3350" w:rsidP="001F3350">
      <w:pPr>
        <w:pStyle w:val="SpecSpecifierNotes0"/>
      </w:pPr>
      <w:r>
        <w:t xml:space="preserve">Section numbers and titles are from </w:t>
      </w:r>
      <w:r w:rsidRPr="001548A9">
        <w:rPr>
          <w:i/>
        </w:rPr>
        <w:t>MasterFormat</w:t>
      </w:r>
      <w:r>
        <w:t xml:space="preserve"> 2004 Edition</w:t>
      </w:r>
      <w:r w:rsidR="00393D5B">
        <w:t>.</w:t>
      </w:r>
    </w:p>
    <w:p w:rsidR="001F3350" w:rsidRDefault="001F3350" w:rsidP="001F3350"/>
    <w:p w:rsidR="001F3350" w:rsidRDefault="001F3350" w:rsidP="001F3350"/>
    <w:p w:rsidR="001F3350" w:rsidRDefault="001F3350" w:rsidP="001F3350">
      <w:pPr>
        <w:pStyle w:val="SpecHeading1"/>
      </w:pPr>
      <w:r>
        <w:t xml:space="preserve">SECTION </w:t>
      </w:r>
      <w:r w:rsidR="00393D5B">
        <w:t>27 11 16</w:t>
      </w:r>
    </w:p>
    <w:p w:rsidR="001F3350" w:rsidRDefault="001F3350" w:rsidP="001F3350"/>
    <w:p w:rsidR="001F3350" w:rsidRDefault="00F13EC4" w:rsidP="006B7E3C">
      <w:pPr>
        <w:pStyle w:val="SpecHeading1"/>
      </w:pPr>
      <w:r>
        <w:t>TEMPERATURE DISPLAY</w:t>
      </w:r>
      <w:r w:rsidR="00801F0D">
        <w:t>S</w:t>
      </w:r>
    </w:p>
    <w:p w:rsidR="006B7E3C" w:rsidRPr="006B7E3C" w:rsidRDefault="006B7E3C" w:rsidP="006B7E3C"/>
    <w:p w:rsidR="001F3350" w:rsidRDefault="001F3350" w:rsidP="001F3350"/>
    <w:p w:rsidR="001F3350" w:rsidRDefault="001F3350" w:rsidP="001F3350">
      <w:pPr>
        <w:pStyle w:val="SpecSpecifierNotes0"/>
      </w:pPr>
      <w:r>
        <w:t>Specifier Notes:  This section covers</w:t>
      </w:r>
      <w:r w:rsidR="00FD19C9">
        <w:t xml:space="preserve"> </w:t>
      </w:r>
      <w:r w:rsidR="00D1240E">
        <w:t xml:space="preserve">Middle Atlantic Products, Inc. </w:t>
      </w:r>
      <w:r w:rsidR="00801F0D">
        <w:t>TEMP-DEC Decora</w:t>
      </w:r>
      <w:r w:rsidR="00801F0D">
        <w:rPr>
          <w:rFonts w:cs="Arial"/>
        </w:rPr>
        <w:t>®</w:t>
      </w:r>
      <w:r w:rsidR="00FA2B29">
        <w:rPr>
          <w:rFonts w:cs="Arial"/>
        </w:rPr>
        <w:t>-</w:t>
      </w:r>
      <w:smartTag w:uri="urn:schemas-microsoft-com:office:smarttags" w:element="place">
        <w:smartTag w:uri="urn:schemas-microsoft-com:office:smarttags" w:element="PlaceType">
          <w:r w:rsidR="00801F0D">
            <w:t>Mount</w:t>
          </w:r>
        </w:smartTag>
        <w:r w:rsidR="00801F0D">
          <w:t xml:space="preserve"> </w:t>
        </w:r>
        <w:smartTag w:uri="urn:schemas-microsoft-com:office:smarttags" w:element="PlaceName">
          <w:r w:rsidR="00801F0D">
            <w:t>Display</w:t>
          </w:r>
        </w:smartTag>
      </w:smartTag>
      <w:r w:rsidR="00801F0D">
        <w:t xml:space="preserve">.  </w:t>
      </w:r>
      <w:r>
        <w:t>Consult</w:t>
      </w:r>
      <w:r w:rsidR="00FD19C9">
        <w:t xml:space="preserve"> </w:t>
      </w:r>
      <w:r w:rsidR="00D1240E">
        <w:t xml:space="preserve">Middle Atlantic Products </w:t>
      </w:r>
      <w:r>
        <w:t>for assistance in editing this section for the specific application.</w:t>
      </w:r>
    </w:p>
    <w:p w:rsidR="003E78B8" w:rsidRDefault="003E78B8" w:rsidP="003E78B8"/>
    <w:p w:rsidR="003E78B8" w:rsidRPr="003E78B8" w:rsidRDefault="003E78B8" w:rsidP="003E78B8"/>
    <w:p w:rsidR="001F3350" w:rsidRDefault="001F3350" w:rsidP="001F3350">
      <w:pPr>
        <w:pStyle w:val="SpecHeading2Part1"/>
      </w:pPr>
      <w:r>
        <w:t>PART 1</w:t>
      </w:r>
      <w:r>
        <w:tab/>
        <w:t>GENERAL</w:t>
      </w:r>
    </w:p>
    <w:p w:rsidR="001F3350" w:rsidRDefault="001F3350" w:rsidP="001F3350"/>
    <w:p w:rsidR="001F3350" w:rsidRDefault="001F3350" w:rsidP="001F3350">
      <w:pPr>
        <w:pStyle w:val="SpecHeading311"/>
      </w:pPr>
      <w:r>
        <w:t>1.1</w:t>
      </w:r>
      <w:r>
        <w:tab/>
        <w:t>SECTION INCLUDES</w:t>
      </w:r>
    </w:p>
    <w:p w:rsidR="001F3350" w:rsidRDefault="001F3350" w:rsidP="001F3350"/>
    <w:p w:rsidR="001F3350" w:rsidRDefault="001F3350" w:rsidP="001F3350">
      <w:pPr>
        <w:pStyle w:val="SpecHeading4A"/>
      </w:pPr>
      <w:r>
        <w:t>A.</w:t>
      </w:r>
      <w:r w:rsidR="00D1240E">
        <w:tab/>
      </w:r>
      <w:r w:rsidR="00FA2B29">
        <w:t>Decora-mount t</w:t>
      </w:r>
      <w:r w:rsidR="00801F0D">
        <w:t>emperature displays.</w:t>
      </w:r>
    </w:p>
    <w:p w:rsidR="001F3350" w:rsidRDefault="001F3350" w:rsidP="001F3350"/>
    <w:p w:rsidR="001F3350" w:rsidRDefault="001F3350" w:rsidP="001F3350">
      <w:pPr>
        <w:pStyle w:val="SpecHeading311"/>
      </w:pPr>
      <w:r>
        <w:t>1.2</w:t>
      </w:r>
      <w:r>
        <w:tab/>
        <w:t>RELATED SECTIONS</w:t>
      </w:r>
    </w:p>
    <w:p w:rsidR="00801F0D" w:rsidRDefault="00801F0D" w:rsidP="00801F0D"/>
    <w:p w:rsidR="00801F0D" w:rsidRDefault="00801F0D" w:rsidP="00801F0D">
      <w:pPr>
        <w:pStyle w:val="SpecSpecifierNotes0"/>
      </w:pPr>
      <w:r>
        <w:t>Specifier Notes:  List sections with work directly related to this section.</w:t>
      </w:r>
    </w:p>
    <w:p w:rsidR="00801F0D" w:rsidRDefault="00801F0D" w:rsidP="00801F0D"/>
    <w:p w:rsidR="00801F0D" w:rsidRDefault="00801F0D" w:rsidP="00801F0D">
      <w:pPr>
        <w:pStyle w:val="SpecHeading4A"/>
      </w:pPr>
      <w:r>
        <w:t>A.</w:t>
      </w:r>
      <w:r>
        <w:tab/>
      </w:r>
    </w:p>
    <w:p w:rsidR="001F3350" w:rsidRDefault="001F3350" w:rsidP="001F3350"/>
    <w:p w:rsidR="001F3350" w:rsidRDefault="001F3350" w:rsidP="001F3350">
      <w:pPr>
        <w:pStyle w:val="SpecHeading311"/>
      </w:pPr>
      <w:r>
        <w:t>1.3</w:t>
      </w:r>
      <w:r>
        <w:tab/>
        <w:t>REFERENCES</w:t>
      </w:r>
    </w:p>
    <w:p w:rsidR="001F3350" w:rsidRDefault="001F3350" w:rsidP="001F3350"/>
    <w:p w:rsidR="001F3350" w:rsidRDefault="001F3350" w:rsidP="001F3350">
      <w:pPr>
        <w:pStyle w:val="SpecSpecifierNotes0"/>
      </w:pPr>
      <w:r>
        <w:t>Specifier Notes:  List standards referenced in this section, complete</w:t>
      </w:r>
      <w:r w:rsidR="00AE3D20">
        <w:t xml:space="preserve"> with designations and titles.  This article does not require compliance with standards, but is merely a listing of those used.</w:t>
      </w:r>
    </w:p>
    <w:p w:rsidR="00AE3D20" w:rsidRDefault="00AE3D20" w:rsidP="00A25F1A"/>
    <w:p w:rsidR="00A25F1A" w:rsidRDefault="00E0324B" w:rsidP="00A25F1A">
      <w:pPr>
        <w:pStyle w:val="SpecHeading4A"/>
      </w:pPr>
      <w:r>
        <w:lastRenderedPageBreak/>
        <w:t>A</w:t>
      </w:r>
      <w:r w:rsidR="00A25F1A">
        <w:t>.</w:t>
      </w:r>
      <w:r w:rsidR="00A25F1A">
        <w:tab/>
        <w:t>ISO 9001:2000 – Quality Management Systems – Requirements.</w:t>
      </w:r>
    </w:p>
    <w:p w:rsidR="00A25F1A" w:rsidRDefault="00A25F1A" w:rsidP="00A25F1A"/>
    <w:p w:rsidR="00A25F1A" w:rsidRPr="004C1EE5" w:rsidRDefault="00E0324B" w:rsidP="00A25F1A">
      <w:pPr>
        <w:pStyle w:val="SpecHeading4A"/>
      </w:pPr>
      <w:r>
        <w:t>B</w:t>
      </w:r>
      <w:r w:rsidR="00A25F1A">
        <w:t>.</w:t>
      </w:r>
      <w:r w:rsidR="00A25F1A">
        <w:tab/>
        <w:t>UL – Underwriters Laboratories.</w:t>
      </w:r>
    </w:p>
    <w:p w:rsidR="00AE3D20" w:rsidRDefault="00AE3D20" w:rsidP="00942879"/>
    <w:p w:rsidR="00AE3D20" w:rsidRDefault="00AE3D20" w:rsidP="00AE3D20">
      <w:pPr>
        <w:pStyle w:val="SpecHeading311"/>
      </w:pPr>
      <w:r>
        <w:t>1.</w:t>
      </w:r>
      <w:r w:rsidR="008D4033">
        <w:t>4</w:t>
      </w:r>
      <w:r>
        <w:tab/>
        <w:t>SUBMITTALS</w:t>
      </w:r>
    </w:p>
    <w:p w:rsidR="00AE3D20" w:rsidRDefault="00AE3D20" w:rsidP="00AE3D20"/>
    <w:p w:rsidR="00AE3D20" w:rsidRDefault="00AE3D20" w:rsidP="00AE3D20">
      <w:pPr>
        <w:pStyle w:val="SpecHeading4A"/>
      </w:pPr>
      <w:r>
        <w:t>A.</w:t>
      </w:r>
      <w:r>
        <w:tab/>
        <w:t>Comply with Section 01 33 00</w:t>
      </w:r>
      <w:r w:rsidR="00D16D18">
        <w:t xml:space="preserve"> </w:t>
      </w:r>
      <w:r w:rsidR="003E78B8">
        <w:t>–</w:t>
      </w:r>
      <w:r w:rsidR="00D16D18">
        <w:t xml:space="preserve"> </w:t>
      </w:r>
      <w:r>
        <w:t>Submittal Procedures.</w:t>
      </w:r>
    </w:p>
    <w:p w:rsidR="00AE3D20" w:rsidRDefault="00AE3D20" w:rsidP="00AE3D20"/>
    <w:p w:rsidR="00AE3D20" w:rsidRDefault="00AE3D20" w:rsidP="00BC4368">
      <w:pPr>
        <w:pStyle w:val="SpecHeading4A"/>
      </w:pPr>
      <w:r>
        <w:t>B.</w:t>
      </w:r>
      <w:r>
        <w:tab/>
        <w:t>Product Data:  Submit manufacturer’s product data</w:t>
      </w:r>
      <w:r w:rsidR="00B47EA2">
        <w:t>, including options.</w:t>
      </w:r>
    </w:p>
    <w:p w:rsidR="00BC4368" w:rsidRDefault="00BC4368" w:rsidP="006B7E3C"/>
    <w:p w:rsidR="00D16D18" w:rsidRPr="00D16D18" w:rsidRDefault="008D4033" w:rsidP="00D16D18">
      <w:pPr>
        <w:pStyle w:val="SpecHeading4A"/>
      </w:pPr>
      <w:r>
        <w:t>C</w:t>
      </w:r>
      <w:r w:rsidR="00BF6281">
        <w:t>.</w:t>
      </w:r>
      <w:r w:rsidR="00BF6281">
        <w:tab/>
      </w:r>
      <w:r w:rsidR="00D16D18">
        <w:t>Warranty:  Submit manufacturer’s standard warranty.</w:t>
      </w:r>
    </w:p>
    <w:p w:rsidR="00964316" w:rsidRDefault="00964316" w:rsidP="00964316"/>
    <w:p w:rsidR="00964316" w:rsidRDefault="00964316" w:rsidP="00964316">
      <w:pPr>
        <w:pStyle w:val="SpecHeading311"/>
      </w:pPr>
      <w:r>
        <w:t>1.</w:t>
      </w:r>
      <w:r w:rsidR="008D4033">
        <w:t>5</w:t>
      </w:r>
      <w:r>
        <w:tab/>
        <w:t>QUALITY ASSURANCE</w:t>
      </w:r>
    </w:p>
    <w:p w:rsidR="00D1240E" w:rsidRPr="00D1240E" w:rsidRDefault="00D1240E" w:rsidP="00D1240E"/>
    <w:p w:rsidR="00D1240E" w:rsidRDefault="00D1240E" w:rsidP="00D1240E">
      <w:pPr>
        <w:pStyle w:val="SpecHeading4A"/>
      </w:pPr>
      <w:r>
        <w:t>A.</w:t>
      </w:r>
      <w:r>
        <w:tab/>
        <w:t xml:space="preserve">Manufacturer’s Qualifications:  </w:t>
      </w:r>
      <w:r w:rsidR="00A25F1A">
        <w:t>ISO 9001:2000 registered company.</w:t>
      </w:r>
    </w:p>
    <w:p w:rsidR="00BF6281" w:rsidRDefault="00BF6281" w:rsidP="00BF6281"/>
    <w:p w:rsidR="00964316" w:rsidRDefault="00964316" w:rsidP="00964316">
      <w:pPr>
        <w:pStyle w:val="SpecHeading311"/>
      </w:pPr>
      <w:r>
        <w:t>1.</w:t>
      </w:r>
      <w:r w:rsidR="008D4033">
        <w:t>6</w:t>
      </w:r>
      <w:r>
        <w:tab/>
      </w:r>
      <w:r w:rsidR="00914FE2">
        <w:t>DELIVERY, STORAGE, AND HANDLING</w:t>
      </w:r>
    </w:p>
    <w:p w:rsidR="00914FE2" w:rsidRDefault="00914FE2" w:rsidP="00914FE2"/>
    <w:p w:rsidR="00914FE2" w:rsidRDefault="00914FE2" w:rsidP="00914FE2">
      <w:pPr>
        <w:pStyle w:val="SpecHeading4A"/>
      </w:pPr>
      <w:r>
        <w:t>A.</w:t>
      </w:r>
      <w:r>
        <w:tab/>
        <w:t xml:space="preserve">Delivery:  Deliver materials </w:t>
      </w:r>
      <w:r w:rsidR="00D16D18">
        <w:t xml:space="preserve">to site </w:t>
      </w:r>
      <w:r>
        <w:t>in manufacturer’s original, unopened</w:t>
      </w:r>
      <w:r w:rsidR="00DD738A">
        <w:t xml:space="preserve"> </w:t>
      </w:r>
      <w:r>
        <w:t>containers and packaging, with labels clearly identifying product name and manufacturer.</w:t>
      </w:r>
    </w:p>
    <w:p w:rsidR="00F927D7" w:rsidRDefault="00F927D7" w:rsidP="00F927D7"/>
    <w:p w:rsidR="00F927D7" w:rsidRDefault="00F927D7" w:rsidP="00F927D7">
      <w:pPr>
        <w:pStyle w:val="SpecHeading4A"/>
      </w:pPr>
      <w:r>
        <w:t>B.</w:t>
      </w:r>
      <w:r>
        <w:tab/>
        <w:t>Storage:  Store materials in clean, dry area indoors in accordance with manufacturer’s instructions.</w:t>
      </w:r>
    </w:p>
    <w:p w:rsidR="00F927D7" w:rsidRDefault="00F927D7" w:rsidP="00F927D7"/>
    <w:p w:rsidR="00F927D7" w:rsidRDefault="00F927D7" w:rsidP="00F927D7">
      <w:pPr>
        <w:pStyle w:val="SpecHeading4A"/>
      </w:pPr>
      <w:r>
        <w:t>C.</w:t>
      </w:r>
      <w:r>
        <w:tab/>
        <w:t xml:space="preserve">Handling:  Protect materials during handling </w:t>
      </w:r>
      <w:r w:rsidR="00D16D18">
        <w:t xml:space="preserve">and installation </w:t>
      </w:r>
      <w:r>
        <w:t>to prevent damage.</w:t>
      </w:r>
    </w:p>
    <w:p w:rsidR="00CD0FEF" w:rsidRDefault="00CD0FEF" w:rsidP="00CC2F12"/>
    <w:p w:rsidR="00CD0FEF" w:rsidRDefault="00CD0FEF" w:rsidP="00CD0FEF">
      <w:pPr>
        <w:pStyle w:val="SpecHeading311"/>
      </w:pPr>
      <w:r>
        <w:t>1.7</w:t>
      </w:r>
      <w:r>
        <w:tab/>
        <w:t>WARRANTY</w:t>
      </w:r>
    </w:p>
    <w:p w:rsidR="00CD0FEF" w:rsidRDefault="00CD0FEF" w:rsidP="00CD0FEF"/>
    <w:p w:rsidR="00CD0FEF" w:rsidRPr="00571EB7" w:rsidRDefault="00CD0FEF" w:rsidP="00CD0FEF">
      <w:pPr>
        <w:pStyle w:val="SpecHeading4A"/>
      </w:pPr>
      <w:r>
        <w:t>A.</w:t>
      </w:r>
      <w:r>
        <w:tab/>
        <w:t>Warranty Period:  3 years.</w:t>
      </w:r>
    </w:p>
    <w:p w:rsidR="00F927D7" w:rsidRDefault="00F927D7" w:rsidP="00F927D7"/>
    <w:p w:rsidR="008D2910" w:rsidRDefault="008D2910" w:rsidP="008D2910"/>
    <w:p w:rsidR="008D2910" w:rsidRDefault="008D2910" w:rsidP="008D2910">
      <w:pPr>
        <w:pStyle w:val="SpecHeading2Part1"/>
      </w:pPr>
      <w:r>
        <w:t>PART 2</w:t>
      </w:r>
      <w:r>
        <w:tab/>
        <w:t>PRODUCTS</w:t>
      </w:r>
    </w:p>
    <w:p w:rsidR="008D2910" w:rsidRDefault="008D2910" w:rsidP="008D2910"/>
    <w:p w:rsidR="008D2910" w:rsidRDefault="008D2910" w:rsidP="008D2910">
      <w:pPr>
        <w:pStyle w:val="SpecHeading311"/>
      </w:pPr>
      <w:r>
        <w:t>2.1</w:t>
      </w:r>
      <w:r>
        <w:tab/>
        <w:t>MANUFACTURER</w:t>
      </w:r>
    </w:p>
    <w:p w:rsidR="008D2910" w:rsidRDefault="008D2910" w:rsidP="008D2910"/>
    <w:p w:rsidR="00D1240E" w:rsidRDefault="008D2910" w:rsidP="00D1240E">
      <w:pPr>
        <w:pStyle w:val="SpecHeading4A"/>
      </w:pPr>
      <w:r>
        <w:t>A.</w:t>
      </w:r>
      <w:r w:rsidR="00D1240E">
        <w:tab/>
        <w:t>Middle Atlantic Products, Inc.</w:t>
      </w:r>
      <w:r w:rsidR="00A25F1A">
        <w:t xml:space="preserve">  </w:t>
      </w:r>
      <w:r w:rsidR="00D1240E">
        <w:t xml:space="preserve">Phone (973) 839-1011.  Fax (973) 839-1976.  </w:t>
      </w:r>
      <w:proofErr w:type="gramStart"/>
      <w:r w:rsidR="00D1240E">
        <w:t xml:space="preserve">Website </w:t>
      </w:r>
      <w:hyperlink r:id="rId9" w:history="1">
        <w:r w:rsidR="00A25F1A" w:rsidRPr="00107478">
          <w:rPr>
            <w:rStyle w:val="Hyperlink"/>
            <w:szCs w:val="24"/>
          </w:rPr>
          <w:t>middleatlantic.com</w:t>
        </w:r>
      </w:hyperlink>
      <w:r w:rsidR="00D1240E">
        <w:t>.</w:t>
      </w:r>
      <w:proofErr w:type="gramEnd"/>
      <w:r w:rsidR="00D1240E">
        <w:t xml:space="preserve">  E-mail info</w:t>
      </w:r>
      <w:hyperlink r:id="rId10" w:history="1">
        <w:r w:rsidR="00D1240E">
          <w:rPr>
            <w:rStyle w:val="Hyperlink"/>
            <w:szCs w:val="24"/>
          </w:rPr>
          <w:t>@middleatlantic.com</w:t>
        </w:r>
      </w:hyperlink>
      <w:r w:rsidR="00D1240E">
        <w:t>.</w:t>
      </w:r>
    </w:p>
    <w:p w:rsidR="008D2910" w:rsidRDefault="008D2910" w:rsidP="008D2910"/>
    <w:p w:rsidR="00CC2F12" w:rsidRDefault="008D2910" w:rsidP="00CC2F12">
      <w:pPr>
        <w:pStyle w:val="SpecHeading311"/>
      </w:pPr>
      <w:r>
        <w:t>2.2</w:t>
      </w:r>
      <w:r>
        <w:tab/>
      </w:r>
      <w:r w:rsidR="00CC2F12">
        <w:t>TEMPERATURE DISPLAYS</w:t>
      </w:r>
    </w:p>
    <w:p w:rsidR="008D2910" w:rsidRDefault="008D2910" w:rsidP="008D2910"/>
    <w:p w:rsidR="008D2910" w:rsidRDefault="008D2910" w:rsidP="00CD0FEF">
      <w:pPr>
        <w:pStyle w:val="SpecHeading4A"/>
      </w:pPr>
      <w:r>
        <w:t>A.</w:t>
      </w:r>
      <w:r w:rsidR="00E13D81">
        <w:tab/>
      </w:r>
      <w:r w:rsidR="00FA2B29">
        <w:t>Decora-Mount Temperature Displays</w:t>
      </w:r>
      <w:r w:rsidR="00E13D81">
        <w:t xml:space="preserve">:  </w:t>
      </w:r>
      <w:r w:rsidR="00801F0D">
        <w:t>TEMP-DEC Decora</w:t>
      </w:r>
      <w:r w:rsidR="00801F0D">
        <w:rPr>
          <w:rFonts w:cs="Arial"/>
        </w:rPr>
        <w:t>®</w:t>
      </w:r>
      <w:r w:rsidR="009202BB">
        <w:rPr>
          <w:rFonts w:cs="Arial"/>
        </w:rPr>
        <w:t>-</w:t>
      </w:r>
      <w:smartTag w:uri="urn:schemas-microsoft-com:office:smarttags" w:element="place">
        <w:smartTag w:uri="urn:schemas-microsoft-com:office:smarttags" w:element="PlaceType">
          <w:r w:rsidR="00801F0D">
            <w:t>Mount</w:t>
          </w:r>
        </w:smartTag>
        <w:r w:rsidR="00801F0D">
          <w:t xml:space="preserve"> </w:t>
        </w:r>
        <w:smartTag w:uri="urn:schemas-microsoft-com:office:smarttags" w:element="PlaceName">
          <w:r w:rsidR="00801F0D">
            <w:t>Display</w:t>
          </w:r>
        </w:smartTag>
      </w:smartTag>
      <w:r w:rsidR="00801F0D">
        <w:t>.</w:t>
      </w:r>
    </w:p>
    <w:p w:rsidR="00E13D81" w:rsidRDefault="00E13D81" w:rsidP="00CD0FEF">
      <w:pPr>
        <w:pStyle w:val="SpecHeading51"/>
      </w:pPr>
      <w:r>
        <w:t>1.</w:t>
      </w:r>
      <w:r>
        <w:tab/>
        <w:t xml:space="preserve">Model:  </w:t>
      </w:r>
      <w:r w:rsidR="00801F0D">
        <w:t>TEMP-DEC.</w:t>
      </w:r>
    </w:p>
    <w:p w:rsidR="009202BB" w:rsidRPr="009202BB" w:rsidRDefault="009202BB" w:rsidP="00E724D8">
      <w:pPr>
        <w:pStyle w:val="SpecHeading51"/>
      </w:pPr>
      <w:r>
        <w:t>2.</w:t>
      </w:r>
      <w:r>
        <w:tab/>
        <w:t>Use:  Monitors internal enclosure temperature.</w:t>
      </w:r>
    </w:p>
    <w:p w:rsidR="00801F0D" w:rsidRDefault="00E724D8" w:rsidP="00CD0FEF">
      <w:pPr>
        <w:pStyle w:val="SpecHeading51"/>
      </w:pPr>
      <w:r>
        <w:t>3</w:t>
      </w:r>
      <w:r w:rsidR="00801F0D">
        <w:t>.</w:t>
      </w:r>
      <w:r w:rsidR="00801F0D">
        <w:tab/>
        <w:t>Mount</w:t>
      </w:r>
      <w:r w:rsidR="00E0324B">
        <w:t>ing</w:t>
      </w:r>
      <w:r w:rsidR="00801F0D">
        <w:t>:  Standard Decora opening.</w:t>
      </w:r>
    </w:p>
    <w:p w:rsidR="00801F0D" w:rsidRDefault="00E724D8" w:rsidP="00CD0FEF">
      <w:pPr>
        <w:pStyle w:val="SpecHeading51"/>
      </w:pPr>
      <w:r>
        <w:t>4</w:t>
      </w:r>
      <w:r w:rsidR="00801F0D">
        <w:t>.</w:t>
      </w:r>
      <w:r w:rsidR="00801F0D">
        <w:tab/>
        <w:t>Readout:  Adjustable Fahrenheit/Celsius.</w:t>
      </w:r>
    </w:p>
    <w:p w:rsidR="00801F0D" w:rsidRDefault="00E724D8" w:rsidP="00CD0FEF">
      <w:pPr>
        <w:pStyle w:val="SpecHeading51"/>
      </w:pPr>
      <w:r>
        <w:t>5</w:t>
      </w:r>
      <w:r w:rsidR="00801F0D">
        <w:t>.</w:t>
      </w:r>
      <w:r w:rsidR="00801F0D">
        <w:tab/>
        <w:t>Display:  Three digits with green LED lights.</w:t>
      </w:r>
    </w:p>
    <w:p w:rsidR="00187AA6" w:rsidRDefault="00E724D8" w:rsidP="00CD0FEF">
      <w:pPr>
        <w:pStyle w:val="SpecHeading51"/>
      </w:pPr>
      <w:r>
        <w:t>6</w:t>
      </w:r>
      <w:r w:rsidR="00801F0D">
        <w:t>.</w:t>
      </w:r>
      <w:r w:rsidR="00801F0D">
        <w:tab/>
        <w:t>Rear-</w:t>
      </w:r>
      <w:r w:rsidR="00187AA6">
        <w:t>M</w:t>
      </w:r>
      <w:r w:rsidR="00801F0D">
        <w:t>ounted</w:t>
      </w:r>
      <w:r w:rsidR="00365378">
        <w:t xml:space="preserve"> Contact </w:t>
      </w:r>
      <w:r w:rsidR="00187AA6">
        <w:t>C</w:t>
      </w:r>
      <w:r w:rsidR="00801F0D">
        <w:t>losure:</w:t>
      </w:r>
      <w:r w:rsidR="00187AA6">
        <w:t xml:space="preserve">  Overtemp alarm </w:t>
      </w:r>
      <w:r w:rsidR="00365378">
        <w:t xml:space="preserve">closure </w:t>
      </w:r>
      <w:r w:rsidR="00187AA6">
        <w:t>to compatible monitoring device.</w:t>
      </w:r>
    </w:p>
    <w:p w:rsidR="00187AA6" w:rsidRDefault="00E724D8" w:rsidP="00CD0FEF">
      <w:pPr>
        <w:pStyle w:val="SpecHeading51"/>
      </w:pPr>
      <w:r>
        <w:t>7</w:t>
      </w:r>
      <w:r w:rsidR="00187AA6">
        <w:t>.</w:t>
      </w:r>
      <w:r w:rsidR="00187AA6">
        <w:tab/>
        <w:t>Local Display:  Blink to indicate overtemp situation.</w:t>
      </w:r>
    </w:p>
    <w:p w:rsidR="00187AA6" w:rsidRDefault="00E724D8" w:rsidP="00CD0FEF">
      <w:pPr>
        <w:pStyle w:val="SpecHeading51"/>
      </w:pPr>
      <w:r>
        <w:t>8</w:t>
      </w:r>
      <w:r w:rsidR="00187AA6">
        <w:t>.</w:t>
      </w:r>
      <w:r w:rsidR="00187AA6">
        <w:tab/>
        <w:t>Overtemp Set Point:  User definable from 95 degrees F to 115 degrees F (35 degrees C to 46 degrees C).</w:t>
      </w:r>
    </w:p>
    <w:p w:rsidR="00187AA6" w:rsidRDefault="00187AA6" w:rsidP="00CD0FEF">
      <w:pPr>
        <w:pStyle w:val="SpecHeading6a"/>
      </w:pPr>
      <w:r>
        <w:t>a.</w:t>
      </w:r>
      <w:r>
        <w:tab/>
      </w:r>
      <w:r w:rsidR="00365378">
        <w:t xml:space="preserve">Factory </w:t>
      </w:r>
      <w:r>
        <w:t>Preset:  100 degrees F (37 degrees C).</w:t>
      </w:r>
    </w:p>
    <w:p w:rsidR="00187AA6" w:rsidRDefault="00E724D8" w:rsidP="00CD0FEF">
      <w:pPr>
        <w:pStyle w:val="SpecHeading51"/>
      </w:pPr>
      <w:r>
        <w:t>9</w:t>
      </w:r>
      <w:r w:rsidR="00187AA6">
        <w:t>.</w:t>
      </w:r>
      <w:r w:rsidR="00187AA6">
        <w:tab/>
      </w:r>
      <w:r w:rsidR="00365378">
        <w:t>Sensor</w:t>
      </w:r>
      <w:r w:rsidR="00187AA6">
        <w:t>:  9 feet with temperature probe for mounting with</w:t>
      </w:r>
      <w:r w:rsidR="00CD0FEF">
        <w:t>in</w:t>
      </w:r>
      <w:r w:rsidR="00187AA6">
        <w:t xml:space="preserve"> enclosure.</w:t>
      </w:r>
    </w:p>
    <w:p w:rsidR="00CD0FEF" w:rsidRDefault="00E724D8" w:rsidP="00CD0FEF">
      <w:pPr>
        <w:pStyle w:val="SpecHeading51"/>
      </w:pPr>
      <w:r>
        <w:lastRenderedPageBreak/>
        <w:t>10.</w:t>
      </w:r>
      <w:r w:rsidR="00CD0FEF">
        <w:tab/>
        <w:t>Lens:  Smoked.</w:t>
      </w:r>
    </w:p>
    <w:p w:rsidR="00CD0FEF" w:rsidRDefault="00CD0FEF" w:rsidP="00CD0FEF">
      <w:pPr>
        <w:pStyle w:val="SpecHeading51"/>
      </w:pPr>
      <w:r>
        <w:t>1</w:t>
      </w:r>
      <w:r w:rsidR="00E724D8">
        <w:t>1</w:t>
      </w:r>
      <w:r>
        <w:t>.</w:t>
      </w:r>
      <w:r>
        <w:tab/>
        <w:t>Chassis:  Flat black plastic.</w:t>
      </w:r>
    </w:p>
    <w:p w:rsidR="00187AA6" w:rsidRDefault="00CD0FEF" w:rsidP="00CD0FEF">
      <w:pPr>
        <w:pStyle w:val="SpecHeading51"/>
      </w:pPr>
      <w:r>
        <w:t>1</w:t>
      </w:r>
      <w:r w:rsidR="00E724D8">
        <w:t>2</w:t>
      </w:r>
      <w:r>
        <w:t>.</w:t>
      </w:r>
      <w:r>
        <w:tab/>
        <w:t>Power Supply:  UL Listed</w:t>
      </w:r>
      <w:r w:rsidR="00365378">
        <w:t xml:space="preserve"> plug-in</w:t>
      </w:r>
      <w:r>
        <w:t>, 12 V DC.</w:t>
      </w:r>
    </w:p>
    <w:p w:rsidR="00BC4368" w:rsidRDefault="00BC4368" w:rsidP="00BC4368"/>
    <w:p w:rsidR="00BC4368" w:rsidRDefault="00BC4368" w:rsidP="00BC4368">
      <w:pPr>
        <w:pStyle w:val="SpecHeading311"/>
      </w:pPr>
      <w:r>
        <w:t>2.3</w:t>
      </w:r>
      <w:r>
        <w:tab/>
        <w:t>OPTIONS</w:t>
      </w:r>
    </w:p>
    <w:p w:rsidR="00BC4368" w:rsidRPr="004B4FFA" w:rsidRDefault="00BC4368" w:rsidP="00BC4368"/>
    <w:p w:rsidR="00BC4368" w:rsidRDefault="00BC4368" w:rsidP="00BC4368">
      <w:pPr>
        <w:pStyle w:val="SpecSpecifierNotes0"/>
      </w:pPr>
      <w:r>
        <w:t>Specifier Notes:  Specify required options.  Delete options not required.</w:t>
      </w:r>
      <w:r w:rsidR="00B47EA2">
        <w:t xml:space="preserve">  Consult Middle Atlantic Products for more information</w:t>
      </w:r>
      <w:r w:rsidR="006B7E3C">
        <w:t>.</w:t>
      </w:r>
    </w:p>
    <w:p w:rsidR="00BC4368" w:rsidRDefault="00BC4368" w:rsidP="00BC4368"/>
    <w:p w:rsidR="00E0324B" w:rsidRDefault="00E0324B" w:rsidP="009A61AD">
      <w:pPr>
        <w:pStyle w:val="SpecHeading4A"/>
      </w:pPr>
      <w:r>
        <w:t>A.</w:t>
      </w:r>
      <w:r>
        <w:tab/>
        <w:t xml:space="preserve">Power Jumper:  Uses second rear 12 </w:t>
      </w:r>
      <w:smartTag w:uri="urn:schemas-microsoft-com:office:smarttags" w:element="place">
        <w:smartTag w:uri="urn:schemas-microsoft-com:office:smarttags" w:element="City">
          <w:r>
            <w:t>V</w:t>
          </w:r>
        </w:smartTag>
        <w:r>
          <w:t xml:space="preserve"> </w:t>
        </w:r>
        <w:smartTag w:uri="urn:schemas-microsoft-com:office:smarttags" w:element="State">
          <w:r>
            <w:t>DC</w:t>
          </w:r>
        </w:smartTag>
      </w:smartTag>
      <w:r>
        <w:t xml:space="preserve"> jack to supply power to additional 12 V </w:t>
      </w:r>
      <w:r w:rsidR="00FA2B29">
        <w:t xml:space="preserve">DC </w:t>
      </w:r>
      <w:r w:rsidR="009202BB">
        <w:t xml:space="preserve">Decora </w:t>
      </w:r>
      <w:r>
        <w:t>units</w:t>
      </w:r>
      <w:r w:rsidR="009202BB">
        <w:t xml:space="preserve"> using single power source</w:t>
      </w:r>
      <w:r>
        <w:t>.</w:t>
      </w:r>
    </w:p>
    <w:p w:rsidR="00E0324B" w:rsidRDefault="00E0324B" w:rsidP="00CC2F12"/>
    <w:p w:rsidR="00E0324B" w:rsidRDefault="00E0324B" w:rsidP="009A61AD">
      <w:pPr>
        <w:pStyle w:val="SpecHeading4A"/>
      </w:pPr>
      <w:r>
        <w:t>B.</w:t>
      </w:r>
      <w:r>
        <w:tab/>
        <w:t>Blank Rackmount Panels:  Single space, with [1</w:t>
      </w:r>
      <w:proofErr w:type="gramStart"/>
      <w:r>
        <w:t>]  [</w:t>
      </w:r>
      <w:proofErr w:type="gramEnd"/>
      <w:r>
        <w:t>2]  [3]  [4] openings for Decora</w:t>
      </w:r>
      <w:r w:rsidR="00FA2B29">
        <w:t>-</w:t>
      </w:r>
      <w:r>
        <w:t>style products.</w:t>
      </w:r>
    </w:p>
    <w:p w:rsidR="00E0324B" w:rsidRDefault="00E0324B" w:rsidP="00CC2F12"/>
    <w:p w:rsidR="00E0324B" w:rsidRDefault="00E0324B" w:rsidP="009A61AD">
      <w:pPr>
        <w:pStyle w:val="SpecHeading4A"/>
      </w:pPr>
      <w:r>
        <w:t>C.</w:t>
      </w:r>
      <w:r>
        <w:tab/>
      </w:r>
      <w:r w:rsidR="009A61AD">
        <w:t>Rackmount Panels:  Single space, with pre-installed TEMP-DEC</w:t>
      </w:r>
      <w:r w:rsidR="009A61AD" w:rsidRPr="009A61AD">
        <w:t xml:space="preserve"> </w:t>
      </w:r>
      <w:r w:rsidR="009A61AD">
        <w:t>Decora</w:t>
      </w:r>
      <w:r w:rsidR="00FA2B29">
        <w:t>-</w:t>
      </w:r>
      <w:r w:rsidR="009A61AD">
        <w:t>Mount Display.</w:t>
      </w:r>
    </w:p>
    <w:p w:rsidR="009A61AD" w:rsidRDefault="009A61AD" w:rsidP="00CC2F12"/>
    <w:p w:rsidR="008D2910" w:rsidRDefault="008D2910" w:rsidP="008D4033"/>
    <w:p w:rsidR="008D2910" w:rsidRDefault="008D2910" w:rsidP="008D2910"/>
    <w:p w:rsidR="008D2910" w:rsidRDefault="008D2910" w:rsidP="008D2910">
      <w:pPr>
        <w:pStyle w:val="SpecHeading2Part1"/>
      </w:pPr>
      <w:r>
        <w:t>PART 3</w:t>
      </w:r>
      <w:r>
        <w:tab/>
      </w:r>
      <w:proofErr w:type="gramStart"/>
      <w:r>
        <w:t>EXECUTION</w:t>
      </w:r>
      <w:proofErr w:type="gramEnd"/>
    </w:p>
    <w:p w:rsidR="008D2910" w:rsidRDefault="008D2910" w:rsidP="008D2910">
      <w:pPr>
        <w:pStyle w:val="SpecHeading4A"/>
        <w:ind w:left="0" w:firstLine="0"/>
      </w:pPr>
    </w:p>
    <w:p w:rsidR="008D2910" w:rsidRDefault="008D2910" w:rsidP="008D2910">
      <w:pPr>
        <w:pStyle w:val="SpecHeading311"/>
      </w:pPr>
      <w:r>
        <w:t>3.1</w:t>
      </w:r>
      <w:r>
        <w:tab/>
        <w:t>EXAMINATION</w:t>
      </w:r>
    </w:p>
    <w:p w:rsidR="008D2910" w:rsidRDefault="008D2910" w:rsidP="008D2910"/>
    <w:p w:rsidR="008D2910" w:rsidRDefault="008D2910" w:rsidP="008D2910">
      <w:pPr>
        <w:pStyle w:val="SpecHeading4A"/>
      </w:pPr>
      <w:r>
        <w:t>A.</w:t>
      </w:r>
      <w:r>
        <w:tab/>
        <w:t xml:space="preserve">Examine areas to receive </w:t>
      </w:r>
      <w:r w:rsidR="009202BB">
        <w:t xml:space="preserve">Decora-mount </w:t>
      </w:r>
      <w:r w:rsidR="009A61AD">
        <w:t>temperature displays</w:t>
      </w:r>
      <w:r w:rsidR="007C751D">
        <w:t>.</w:t>
      </w:r>
    </w:p>
    <w:p w:rsidR="00C44D49" w:rsidRDefault="00C44D49" w:rsidP="00C44D49"/>
    <w:p w:rsidR="00C44D49" w:rsidRDefault="00C44D49" w:rsidP="00C44D49">
      <w:pPr>
        <w:pStyle w:val="SpecHeading4A"/>
      </w:pPr>
      <w:r>
        <w:t>B.</w:t>
      </w:r>
      <w:r>
        <w:tab/>
        <w:t xml:space="preserve">Notify Architect </w:t>
      </w:r>
      <w:r w:rsidR="00515C67">
        <w:t>of conditions that would adversely affect installation or subsequent use.</w:t>
      </w:r>
    </w:p>
    <w:p w:rsidR="00C44D49" w:rsidRDefault="00C44D49" w:rsidP="00C44D49"/>
    <w:p w:rsidR="00C44D49" w:rsidRDefault="00C44D49" w:rsidP="00C44D49">
      <w:pPr>
        <w:pStyle w:val="SpecHeading4A"/>
      </w:pPr>
      <w:r>
        <w:t>C.</w:t>
      </w:r>
      <w:r>
        <w:tab/>
        <w:t xml:space="preserve">Do not begin </w:t>
      </w:r>
      <w:r w:rsidR="00011263">
        <w:t>installation</w:t>
      </w:r>
      <w:r>
        <w:t xml:space="preserve"> until unacceptable conditions </w:t>
      </w:r>
      <w:r w:rsidR="00515C67">
        <w:t xml:space="preserve">are </w:t>
      </w:r>
      <w:r>
        <w:t>corrected.</w:t>
      </w:r>
    </w:p>
    <w:p w:rsidR="007C751D" w:rsidRDefault="007C751D" w:rsidP="007C751D"/>
    <w:p w:rsidR="00C44D49" w:rsidRDefault="00C44D49" w:rsidP="00C44D49">
      <w:pPr>
        <w:pStyle w:val="SpecHeading311"/>
      </w:pPr>
      <w:r>
        <w:t>3.2</w:t>
      </w:r>
      <w:r>
        <w:tab/>
        <w:t>INSTALLATION</w:t>
      </w:r>
    </w:p>
    <w:p w:rsidR="00C44D49" w:rsidRDefault="00C44D49" w:rsidP="00C44D49"/>
    <w:p w:rsidR="00C44D49" w:rsidRDefault="00C44D49" w:rsidP="00C44D49">
      <w:pPr>
        <w:pStyle w:val="SpecHeading4A"/>
      </w:pPr>
      <w:r>
        <w:t>A.</w:t>
      </w:r>
      <w:r>
        <w:tab/>
      </w:r>
      <w:r w:rsidR="00F16887">
        <w:t>I</w:t>
      </w:r>
      <w:r>
        <w:t>nstall</w:t>
      </w:r>
      <w:r w:rsidR="00867D3A">
        <w:t xml:space="preserve"> </w:t>
      </w:r>
      <w:r w:rsidR="009202BB">
        <w:t xml:space="preserve">Decora-mount </w:t>
      </w:r>
      <w:r w:rsidR="009A61AD">
        <w:t xml:space="preserve">temperature displays </w:t>
      </w:r>
      <w:r>
        <w:t>in accordance with manufacturer’s instructions</w:t>
      </w:r>
      <w:r w:rsidR="00357794">
        <w:t xml:space="preserve"> at locations indicated on the Drawings</w:t>
      </w:r>
      <w:r>
        <w:t>.</w:t>
      </w:r>
    </w:p>
    <w:p w:rsidR="00867D3A" w:rsidRDefault="00867D3A" w:rsidP="00867D3A"/>
    <w:p w:rsidR="00515C67" w:rsidRDefault="00515C67" w:rsidP="00357794">
      <w:pPr>
        <w:pStyle w:val="SpecHeading4A"/>
      </w:pPr>
      <w:r>
        <w:t>B.</w:t>
      </w:r>
      <w:r>
        <w:tab/>
        <w:t xml:space="preserve">Install </w:t>
      </w:r>
      <w:r w:rsidR="009202BB">
        <w:t xml:space="preserve">Decora-mount </w:t>
      </w:r>
      <w:r w:rsidR="009A61AD">
        <w:t xml:space="preserve">temperature displays </w:t>
      </w:r>
      <w:r>
        <w:t>plumb, level, square</w:t>
      </w:r>
      <w:r w:rsidR="00532DB2">
        <w:t>, and secure</w:t>
      </w:r>
      <w:r w:rsidR="00867D3A">
        <w:t>.</w:t>
      </w:r>
    </w:p>
    <w:p w:rsidR="00515C67" w:rsidRDefault="00515C67" w:rsidP="008D4033"/>
    <w:p w:rsidR="007C751D" w:rsidRDefault="007C751D" w:rsidP="007C751D">
      <w:pPr>
        <w:pStyle w:val="SpecHeading311"/>
      </w:pPr>
      <w:r>
        <w:t>3.</w:t>
      </w:r>
      <w:r w:rsidR="00E724D8">
        <w:t>3</w:t>
      </w:r>
      <w:r>
        <w:tab/>
        <w:t>PROTECTION</w:t>
      </w:r>
    </w:p>
    <w:p w:rsidR="007C751D" w:rsidRDefault="007C751D" w:rsidP="007C751D"/>
    <w:p w:rsidR="007C751D" w:rsidRDefault="007C751D" w:rsidP="007C751D">
      <w:pPr>
        <w:pStyle w:val="SpecHeading4A"/>
      </w:pPr>
      <w:r>
        <w:t>A.</w:t>
      </w:r>
      <w:r>
        <w:tab/>
        <w:t xml:space="preserve">Protect installed </w:t>
      </w:r>
      <w:r w:rsidR="009202BB">
        <w:t xml:space="preserve">Decora-mount </w:t>
      </w:r>
      <w:r w:rsidR="009A61AD">
        <w:t xml:space="preserve">temperature displays </w:t>
      </w:r>
      <w:r>
        <w:t>from damage during construction.</w:t>
      </w:r>
    </w:p>
    <w:p w:rsidR="00C44D49" w:rsidRDefault="00C44D49" w:rsidP="00C44D49"/>
    <w:p w:rsidR="00867D3A" w:rsidRDefault="00867D3A" w:rsidP="00867D3A"/>
    <w:p w:rsidR="00C44D49" w:rsidRPr="00C44D49" w:rsidRDefault="0038644A" w:rsidP="00C44D49">
      <w:pPr>
        <w:pStyle w:val="SpecHeading1"/>
      </w:pPr>
      <w:r>
        <w:t>END OF SECTION</w:t>
      </w:r>
    </w:p>
    <w:sectPr w:rsidR="00C44D49" w:rsidRPr="00C44D49" w:rsidSect="00870CCA">
      <w:footerReference w:type="default" r:id="rId11"/>
      <w:type w:val="continuous"/>
      <w:pgSz w:w="12240" w:h="15840" w:code="1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AD4" w:rsidRDefault="00D92AD4">
      <w:r>
        <w:separator/>
      </w:r>
    </w:p>
  </w:endnote>
  <w:endnote w:type="continuationSeparator" w:id="0">
    <w:p w:rsidR="00D92AD4" w:rsidRDefault="00D92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378" w:rsidRDefault="00365378" w:rsidP="00DB19BB">
    <w:pPr>
      <w:pStyle w:val="SpecFooter"/>
    </w:pPr>
  </w:p>
  <w:p w:rsidR="00365378" w:rsidRDefault="00365378" w:rsidP="00DB19BB">
    <w:pPr>
      <w:pStyle w:val="SpecFooter"/>
    </w:pPr>
    <w:r>
      <w:t>TEMP-DEC Decora-</w:t>
    </w:r>
    <w:smartTag w:uri="urn:schemas-microsoft-com:office:smarttags" w:element="place">
      <w:smartTag w:uri="urn:schemas-microsoft-com:office:smarttags" w:element="PlaceType">
        <w:r>
          <w:t>Mount</w:t>
        </w:r>
      </w:smartTag>
      <w:r>
        <w:t xml:space="preserve"> </w:t>
      </w:r>
      <w:smartTag w:uri="urn:schemas-microsoft-com:office:smarttags" w:element="PlaceName">
        <w:r>
          <w:t>Display</w:t>
        </w:r>
      </w:smartTag>
    </w:smartTag>
    <w:r>
      <w:tab/>
      <w:t xml:space="preserve">27 11 16 -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272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AD4" w:rsidRDefault="00D92AD4">
      <w:r>
        <w:separator/>
      </w:r>
    </w:p>
  </w:footnote>
  <w:footnote w:type="continuationSeparator" w:id="0">
    <w:p w:rsidR="00D92AD4" w:rsidRDefault="00D92A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244D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9E82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B8CE8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580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C7A9A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D066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1AB8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10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D21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4E2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E66D0A"/>
    <w:multiLevelType w:val="hybridMultilevel"/>
    <w:tmpl w:val="8D824D6A"/>
    <w:lvl w:ilvl="0" w:tplc="EED05EA6">
      <w:start w:val="1"/>
      <w:numFmt w:val="upperLetter"/>
      <w:lvlText w:val="%1."/>
      <w:lvlJc w:val="left"/>
      <w:pPr>
        <w:tabs>
          <w:tab w:val="num" w:pos="727"/>
        </w:tabs>
        <w:ind w:left="72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1">
    <w:nsid w:val="3DB32A39"/>
    <w:multiLevelType w:val="multilevel"/>
    <w:tmpl w:val="203E62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FD97690"/>
    <w:multiLevelType w:val="multilevel"/>
    <w:tmpl w:val="899CCF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spelling="clean" w:grammar="clean"/>
  <w:attachedTemplate r:id="rId1"/>
  <w:stylePaneFormatFilter w:val="00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EC4"/>
    <w:rsid w:val="000069BB"/>
    <w:rsid w:val="00011263"/>
    <w:rsid w:val="0003392E"/>
    <w:rsid w:val="00035660"/>
    <w:rsid w:val="00071573"/>
    <w:rsid w:val="000F639D"/>
    <w:rsid w:val="00111F28"/>
    <w:rsid w:val="001643C9"/>
    <w:rsid w:val="001741D8"/>
    <w:rsid w:val="00187AA6"/>
    <w:rsid w:val="00190353"/>
    <w:rsid w:val="00195468"/>
    <w:rsid w:val="00197E97"/>
    <w:rsid w:val="001A390B"/>
    <w:rsid w:val="001B1417"/>
    <w:rsid w:val="001D26F4"/>
    <w:rsid w:val="001E09B7"/>
    <w:rsid w:val="001F3350"/>
    <w:rsid w:val="00235E53"/>
    <w:rsid w:val="00282EDC"/>
    <w:rsid w:val="0029712F"/>
    <w:rsid w:val="002A394E"/>
    <w:rsid w:val="002A48AD"/>
    <w:rsid w:val="002C403B"/>
    <w:rsid w:val="00347354"/>
    <w:rsid w:val="00357794"/>
    <w:rsid w:val="0036232E"/>
    <w:rsid w:val="00365378"/>
    <w:rsid w:val="0036604B"/>
    <w:rsid w:val="00373C0A"/>
    <w:rsid w:val="00383124"/>
    <w:rsid w:val="0038644A"/>
    <w:rsid w:val="00393D5B"/>
    <w:rsid w:val="00395273"/>
    <w:rsid w:val="003D249A"/>
    <w:rsid w:val="003E4275"/>
    <w:rsid w:val="003E78B8"/>
    <w:rsid w:val="004100F5"/>
    <w:rsid w:val="00412DE2"/>
    <w:rsid w:val="00426F81"/>
    <w:rsid w:val="0043134B"/>
    <w:rsid w:val="0046622B"/>
    <w:rsid w:val="00471950"/>
    <w:rsid w:val="004A78EA"/>
    <w:rsid w:val="004C7267"/>
    <w:rsid w:val="004F7223"/>
    <w:rsid w:val="00515C67"/>
    <w:rsid w:val="00526994"/>
    <w:rsid w:val="00532DB2"/>
    <w:rsid w:val="00534D33"/>
    <w:rsid w:val="0054154E"/>
    <w:rsid w:val="00575A2F"/>
    <w:rsid w:val="005833A5"/>
    <w:rsid w:val="005D3911"/>
    <w:rsid w:val="005E3F85"/>
    <w:rsid w:val="00647344"/>
    <w:rsid w:val="00663B6C"/>
    <w:rsid w:val="006A71A5"/>
    <w:rsid w:val="006B773F"/>
    <w:rsid w:val="006B7E3C"/>
    <w:rsid w:val="006C69D7"/>
    <w:rsid w:val="006D3C81"/>
    <w:rsid w:val="006F6817"/>
    <w:rsid w:val="00711481"/>
    <w:rsid w:val="00712BBC"/>
    <w:rsid w:val="00741F2A"/>
    <w:rsid w:val="007959A5"/>
    <w:rsid w:val="007C751D"/>
    <w:rsid w:val="00801F0D"/>
    <w:rsid w:val="00810276"/>
    <w:rsid w:val="00841499"/>
    <w:rsid w:val="00850DBF"/>
    <w:rsid w:val="00867D3A"/>
    <w:rsid w:val="00870851"/>
    <w:rsid w:val="00870CCA"/>
    <w:rsid w:val="00891D6D"/>
    <w:rsid w:val="008C1679"/>
    <w:rsid w:val="008C272F"/>
    <w:rsid w:val="008C365F"/>
    <w:rsid w:val="008D2910"/>
    <w:rsid w:val="008D4033"/>
    <w:rsid w:val="008F6F6E"/>
    <w:rsid w:val="00903A14"/>
    <w:rsid w:val="00911620"/>
    <w:rsid w:val="00914FE2"/>
    <w:rsid w:val="009202BB"/>
    <w:rsid w:val="00942879"/>
    <w:rsid w:val="00964316"/>
    <w:rsid w:val="00973A42"/>
    <w:rsid w:val="00980B09"/>
    <w:rsid w:val="00982C8F"/>
    <w:rsid w:val="009A61AD"/>
    <w:rsid w:val="009C310B"/>
    <w:rsid w:val="009E27BB"/>
    <w:rsid w:val="00A212CF"/>
    <w:rsid w:val="00A25F1A"/>
    <w:rsid w:val="00A57A4C"/>
    <w:rsid w:val="00A963CD"/>
    <w:rsid w:val="00AD0D9D"/>
    <w:rsid w:val="00AD22E4"/>
    <w:rsid w:val="00AE3D20"/>
    <w:rsid w:val="00B31F2C"/>
    <w:rsid w:val="00B47EA2"/>
    <w:rsid w:val="00BC1F90"/>
    <w:rsid w:val="00BC4368"/>
    <w:rsid w:val="00BF284F"/>
    <w:rsid w:val="00BF6281"/>
    <w:rsid w:val="00C00EBB"/>
    <w:rsid w:val="00C0580F"/>
    <w:rsid w:val="00C44D49"/>
    <w:rsid w:val="00C745F2"/>
    <w:rsid w:val="00C763ED"/>
    <w:rsid w:val="00C83620"/>
    <w:rsid w:val="00CC2F12"/>
    <w:rsid w:val="00CD0FEF"/>
    <w:rsid w:val="00D01F19"/>
    <w:rsid w:val="00D1240E"/>
    <w:rsid w:val="00D1681F"/>
    <w:rsid w:val="00D16D18"/>
    <w:rsid w:val="00D23B58"/>
    <w:rsid w:val="00D433FF"/>
    <w:rsid w:val="00D4666D"/>
    <w:rsid w:val="00D75E26"/>
    <w:rsid w:val="00D92AD4"/>
    <w:rsid w:val="00DA3C2C"/>
    <w:rsid w:val="00DB19BB"/>
    <w:rsid w:val="00DB7B61"/>
    <w:rsid w:val="00DD738A"/>
    <w:rsid w:val="00DE10D7"/>
    <w:rsid w:val="00DF4FA0"/>
    <w:rsid w:val="00E0324B"/>
    <w:rsid w:val="00E13D81"/>
    <w:rsid w:val="00E334C1"/>
    <w:rsid w:val="00E724D8"/>
    <w:rsid w:val="00E73327"/>
    <w:rsid w:val="00E829AE"/>
    <w:rsid w:val="00EE7499"/>
    <w:rsid w:val="00F13EC4"/>
    <w:rsid w:val="00F16887"/>
    <w:rsid w:val="00F23676"/>
    <w:rsid w:val="00F33B6C"/>
    <w:rsid w:val="00F45691"/>
    <w:rsid w:val="00F914A1"/>
    <w:rsid w:val="00F927D7"/>
    <w:rsid w:val="00FA2B29"/>
    <w:rsid w:val="00FB1FDC"/>
    <w:rsid w:val="00FC7BD0"/>
    <w:rsid w:val="00FD070F"/>
    <w:rsid w:val="00FD19C9"/>
    <w:rsid w:val="00FE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32E"/>
    <w:rPr>
      <w:rFonts w:ascii="Arial" w:hAnsi="Arial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pecHeader">
    <w:name w:val="Spec: Header"/>
    <w:basedOn w:val="Normal"/>
    <w:rsid w:val="00C00EBB"/>
    <w:pPr>
      <w:pBdr>
        <w:bottom w:val="single" w:sz="4" w:space="1" w:color="auto"/>
      </w:pBdr>
      <w:tabs>
        <w:tab w:val="center" w:pos="6480"/>
        <w:tab w:val="right" w:pos="10080"/>
      </w:tabs>
      <w:jc w:val="center"/>
    </w:pPr>
    <w:rPr>
      <w:i/>
      <w:sz w:val="20"/>
    </w:rPr>
  </w:style>
  <w:style w:type="paragraph" w:styleId="Header">
    <w:name w:val="header"/>
    <w:basedOn w:val="Normal"/>
    <w:semiHidden/>
    <w:rsid w:val="00362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6232E"/>
    <w:pPr>
      <w:tabs>
        <w:tab w:val="center" w:pos="4320"/>
        <w:tab w:val="right" w:pos="8640"/>
      </w:tabs>
    </w:pPr>
  </w:style>
  <w:style w:type="paragraph" w:customStyle="1" w:styleId="SpecContactInfo">
    <w:name w:val="Spec: Contact Info"/>
    <w:basedOn w:val="Normal"/>
    <w:rsid w:val="00C00EBB"/>
    <w:pPr>
      <w:tabs>
        <w:tab w:val="left" w:pos="1296"/>
        <w:tab w:val="left" w:pos="1800"/>
        <w:tab w:val="right" w:pos="10080"/>
      </w:tabs>
    </w:pPr>
  </w:style>
  <w:style w:type="character" w:styleId="Hyperlink">
    <w:name w:val="Hyperlink"/>
    <w:basedOn w:val="DefaultParagraphFont"/>
    <w:semiHidden/>
    <w:rsid w:val="006D3C81"/>
    <w:rPr>
      <w:rFonts w:ascii="Arial" w:hAnsi="Arial"/>
      <w:color w:val="000000"/>
      <w:sz w:val="22"/>
      <w:szCs w:val="22"/>
      <w:u w:val="none"/>
    </w:rPr>
  </w:style>
  <w:style w:type="paragraph" w:customStyle="1" w:styleId="SpecHeading1">
    <w:name w:val="Spec: Heading 1"/>
    <w:basedOn w:val="Normal"/>
    <w:next w:val="Normal"/>
    <w:rsid w:val="00741F2A"/>
    <w:pPr>
      <w:jc w:val="center"/>
      <w:outlineLvl w:val="0"/>
    </w:pPr>
    <w:rPr>
      <w:b/>
    </w:rPr>
  </w:style>
  <w:style w:type="paragraph" w:customStyle="1" w:styleId="SpecSpecifierNotes">
    <w:name w:val="Spec: Specifier Notes"/>
    <w:basedOn w:val="Normal"/>
    <w:rsid w:val="00071573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</w:pPr>
  </w:style>
  <w:style w:type="paragraph" w:customStyle="1" w:styleId="SpecHeading2Part1">
    <w:name w:val="Spec: Heading 2 [Part 1]"/>
    <w:basedOn w:val="Normal"/>
    <w:next w:val="Normal"/>
    <w:rsid w:val="00741F2A"/>
    <w:pPr>
      <w:tabs>
        <w:tab w:val="left" w:pos="1260"/>
      </w:tabs>
      <w:outlineLvl w:val="1"/>
    </w:pPr>
    <w:rPr>
      <w:b/>
    </w:rPr>
  </w:style>
  <w:style w:type="paragraph" w:customStyle="1" w:styleId="SpecHeading311">
    <w:name w:val="Spec: Heading 3 [1.1]"/>
    <w:basedOn w:val="Normal"/>
    <w:next w:val="Normal"/>
    <w:rsid w:val="00741F2A"/>
    <w:pPr>
      <w:tabs>
        <w:tab w:val="left" w:pos="720"/>
      </w:tabs>
      <w:outlineLvl w:val="2"/>
    </w:pPr>
    <w:rPr>
      <w:b/>
    </w:rPr>
  </w:style>
  <w:style w:type="paragraph" w:customStyle="1" w:styleId="SpecHeading4A">
    <w:name w:val="Spec: Heading 4 [A.]"/>
    <w:basedOn w:val="Normal"/>
    <w:next w:val="Normal"/>
    <w:rsid w:val="00741F2A"/>
    <w:pPr>
      <w:tabs>
        <w:tab w:val="left" w:pos="720"/>
      </w:tabs>
      <w:ind w:left="734" w:hanging="547"/>
      <w:outlineLvl w:val="3"/>
    </w:pPr>
  </w:style>
  <w:style w:type="paragraph" w:customStyle="1" w:styleId="SpecHeading51">
    <w:name w:val="Spec: Heading 5 [1.]"/>
    <w:basedOn w:val="Normal"/>
    <w:next w:val="Normal"/>
    <w:rsid w:val="00741F2A"/>
    <w:pPr>
      <w:tabs>
        <w:tab w:val="left" w:pos="720"/>
      </w:tabs>
      <w:ind w:left="1267" w:hanging="547"/>
      <w:outlineLvl w:val="4"/>
    </w:pPr>
  </w:style>
  <w:style w:type="paragraph" w:customStyle="1" w:styleId="SpecHeading6a">
    <w:name w:val="Spec: Heading 6 [a.]"/>
    <w:basedOn w:val="Normal"/>
    <w:next w:val="Normal"/>
    <w:rsid w:val="00EE7499"/>
    <w:pPr>
      <w:tabs>
        <w:tab w:val="left" w:pos="1800"/>
      </w:tabs>
      <w:ind w:left="1814" w:hanging="547"/>
      <w:outlineLvl w:val="5"/>
    </w:pPr>
  </w:style>
  <w:style w:type="paragraph" w:customStyle="1" w:styleId="SpecHeading71">
    <w:name w:val="Spec: Heading 7 [1)]"/>
    <w:basedOn w:val="Normal"/>
    <w:next w:val="Normal"/>
    <w:rsid w:val="00EE7499"/>
    <w:pPr>
      <w:tabs>
        <w:tab w:val="left" w:pos="2347"/>
      </w:tabs>
      <w:ind w:left="2347" w:hanging="547"/>
    </w:pPr>
  </w:style>
  <w:style w:type="character" w:styleId="PageNumber">
    <w:name w:val="page number"/>
    <w:basedOn w:val="DefaultParagraphFont"/>
    <w:semiHidden/>
    <w:rsid w:val="00D433FF"/>
  </w:style>
  <w:style w:type="paragraph" w:customStyle="1" w:styleId="SpecFooter">
    <w:name w:val="Spec: Footer"/>
    <w:basedOn w:val="Normal"/>
    <w:rsid w:val="00C00EBB"/>
    <w:pPr>
      <w:tabs>
        <w:tab w:val="center" w:pos="5040"/>
      </w:tabs>
    </w:pPr>
  </w:style>
  <w:style w:type="paragraph" w:customStyle="1" w:styleId="SpecSpecifierNotes0">
    <w:name w:val="Spec:  Specifier Notes"/>
    <w:basedOn w:val="Normal"/>
    <w:rsid w:val="001741D8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</w:pPr>
  </w:style>
  <w:style w:type="paragraph" w:styleId="BalloonText">
    <w:name w:val="Balloon Text"/>
    <w:basedOn w:val="Normal"/>
    <w:semiHidden/>
    <w:rsid w:val="00395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b@aaa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ddleatlanti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bb@aaa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ddleatlanti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MAP%20Guide%20Spec%20Template%200512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MAP Guide Spec Template 051206</Template>
  <TotalTime>1</TotalTime>
  <Pages>3</Pages>
  <Words>664</Words>
  <Characters>3790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TEMP-DEC Decora-Mount Display</vt:lpstr>
    </vt:vector>
  </TitlesOfParts>
  <Company/>
  <LinksUpToDate>false</LinksUpToDate>
  <CharactersWithSpaces>4446</CharactersWithSpaces>
  <SharedDoc>false</SharedDoc>
  <HLinks>
    <vt:vector size="24" baseType="variant">
      <vt:variant>
        <vt:i4>2293771</vt:i4>
      </vt:variant>
      <vt:variant>
        <vt:i4>9</vt:i4>
      </vt:variant>
      <vt:variant>
        <vt:i4>0</vt:i4>
      </vt:variant>
      <vt:variant>
        <vt:i4>5</vt:i4>
      </vt:variant>
      <vt:variant>
        <vt:lpwstr>mailto:bbb@aaaa.com</vt:lpwstr>
      </vt:variant>
      <vt:variant>
        <vt:lpwstr/>
      </vt:variant>
      <vt:variant>
        <vt:i4>4980803</vt:i4>
      </vt:variant>
      <vt:variant>
        <vt:i4>6</vt:i4>
      </vt:variant>
      <vt:variant>
        <vt:i4>0</vt:i4>
      </vt:variant>
      <vt:variant>
        <vt:i4>5</vt:i4>
      </vt:variant>
      <vt:variant>
        <vt:lpwstr>mailto:middleatlantic.com</vt:lpwstr>
      </vt:variant>
      <vt:variant>
        <vt:lpwstr/>
      </vt:variant>
      <vt:variant>
        <vt:i4>2293771</vt:i4>
      </vt:variant>
      <vt:variant>
        <vt:i4>3</vt:i4>
      </vt:variant>
      <vt:variant>
        <vt:i4>0</vt:i4>
      </vt:variant>
      <vt:variant>
        <vt:i4>5</vt:i4>
      </vt:variant>
      <vt:variant>
        <vt:lpwstr>mailto:bbb@aaaa.com</vt:lpwstr>
      </vt:variant>
      <vt:variant>
        <vt:lpwstr/>
      </vt:variant>
      <vt:variant>
        <vt:i4>2752564</vt:i4>
      </vt:variant>
      <vt:variant>
        <vt:i4>0</vt:i4>
      </vt:variant>
      <vt:variant>
        <vt:i4>0</vt:i4>
      </vt:variant>
      <vt:variant>
        <vt:i4>5</vt:i4>
      </vt:variant>
      <vt:variant>
        <vt:lpwstr>http://www.middleatlantic.com/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TEMP-DEC Decora-Mount Display</dc:title>
  <dc:subject>Guide Specification</dc:subject>
  <dc:creator>Gary Schuman</dc:creator>
  <cp:lastModifiedBy>mcukrow</cp:lastModifiedBy>
  <cp:revision>2</cp:revision>
  <cp:lastPrinted>2006-02-06T15:00:00Z</cp:lastPrinted>
  <dcterms:created xsi:type="dcterms:W3CDTF">2013-05-30T17:48:00Z</dcterms:created>
  <dcterms:modified xsi:type="dcterms:W3CDTF">2013-05-30T17:48:00Z</dcterms:modified>
</cp:coreProperties>
</file>