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1F374E"/>
          <w:sz w:val="36"/>
        </w:rPr>
        <w:t>MARYLAND RESIDENTIAL LEASE AGREEMENT</w:t>
      </w:r>
    </w:p>
    <w:p>
      <w:pPr>
        <w:spacing w:after="240"/>
        <w:jc w:val="center"/>
      </w:pPr>
      <w:r>
        <w:rPr>
          <w:color w:val="5F6368"/>
          <w:sz w:val="20"/>
        </w:rPr>
        <w:t>Baltimore City | Fixed Term</w:t>
      </w:r>
    </w:p>
    <w:tbl>
      <w:tblPr>
        <w:tblStyle w:val="TableGrid"/>
        <w:tblW w:type="dxa" w:w="9360"/>
        <w:jc w:val="center"/>
        <w:tblLayout w:type="fixed"/>
        <w:tblLook w:firstColumn="1" w:firstRow="1" w:lastColumn="0" w:lastRow="0" w:noHBand="0" w:noVBand="1" w:val="04A0"/>
        <w:tblInd w:w="120" w:type="dxa"/>
      </w:tblPr>
      <w:tblGrid>
        <w:gridCol w:w="2200"/>
        <w:gridCol w:w="7160"/>
      </w:tblGrid>
      <w:tr>
        <w:tc>
          <w:tcPr>
            <w:tcW w:type="dxa" w:w="2200"/>
            <w:shd w:fill="F2F4F7"/>
            <w:vAlign w:val="center"/>
            <w:tcMar>
              <w:top w:w="90" w:type="dxa"/>
              <w:start w:w="120" w:type="dxa"/>
              <w:bottom w:w="90" w:type="dxa"/>
              <w:end w:w="120" w:type="dxa"/>
            </w:tcMar>
          </w:tcPr>
          <w:p>
            <w:r>
              <w:rPr>
                <w:b/>
              </w:rPr>
              <w:t>Landlord</w:t>
            </w:r>
          </w:p>
        </w:tc>
        <w:tc>
          <w:tcPr>
            <w:tcW w:type="dxa" w:w="7160"/>
            <w:vAlign w:val="center"/>
            <w:tcMar>
              <w:top w:w="90" w:type="dxa"/>
              <w:start w:w="120" w:type="dxa"/>
              <w:bottom w:w="90" w:type="dxa"/>
              <w:end w:w="120" w:type="dxa"/>
            </w:tcMar>
          </w:tcPr>
          <w:p>
            <w:r>
              <w:t>Katrice Harrington Wall</w:t>
            </w:r>
          </w:p>
        </w:tc>
      </w:tr>
      <w:tr>
        <w:tc>
          <w:tcPr>
            <w:tcW w:type="dxa" w:w="2200"/>
            <w:shd w:fill="F2F4F7"/>
            <w:vAlign w:val="center"/>
            <w:tcMar>
              <w:top w:w="90" w:type="dxa"/>
              <w:start w:w="120" w:type="dxa"/>
              <w:bottom w:w="90" w:type="dxa"/>
              <w:end w:w="120" w:type="dxa"/>
            </w:tcMar>
          </w:tcPr>
          <w:p>
            <w:r>
              <w:rPr>
                <w:b/>
              </w:rPr>
              <w:t>Tenant</w:t>
            </w:r>
          </w:p>
        </w:tc>
        <w:tc>
          <w:tcPr>
            <w:tcW w:type="dxa" w:w="7160"/>
            <w:vAlign w:val="center"/>
            <w:tcMar>
              <w:top w:w="90" w:type="dxa"/>
              <w:start w:w="120" w:type="dxa"/>
              <w:bottom w:w="90" w:type="dxa"/>
              <w:end w:w="120" w:type="dxa"/>
            </w:tcMar>
          </w:tcPr>
          <w:p>
            <w:r>
              <w:t>Jasmine Wall</w:t>
            </w:r>
          </w:p>
        </w:tc>
      </w:tr>
      <w:tr>
        <w:tc>
          <w:tcPr>
            <w:tcW w:type="dxa" w:w="2200"/>
            <w:shd w:fill="F2F4F7"/>
            <w:vAlign w:val="center"/>
            <w:tcMar>
              <w:top w:w="90" w:type="dxa"/>
              <w:start w:w="120" w:type="dxa"/>
              <w:bottom w:w="90" w:type="dxa"/>
              <w:end w:w="120" w:type="dxa"/>
            </w:tcMar>
          </w:tcPr>
          <w:p>
            <w:r>
              <w:rPr>
                <w:b/>
              </w:rPr>
              <w:t>Property</w:t>
            </w:r>
          </w:p>
        </w:tc>
        <w:tc>
          <w:tcPr>
            <w:tcW w:type="dxa" w:w="7160"/>
            <w:vAlign w:val="center"/>
            <w:tcMar>
              <w:top w:w="90" w:type="dxa"/>
              <w:start w:w="120" w:type="dxa"/>
              <w:bottom w:w="90" w:type="dxa"/>
              <w:end w:w="120" w:type="dxa"/>
            </w:tcMar>
          </w:tcPr>
          <w:p>
            <w:r>
              <w:t>2114 Allendale Road, Baltimore, Maryland</w:t>
            </w:r>
          </w:p>
        </w:tc>
      </w:tr>
      <w:tr>
        <w:tc>
          <w:tcPr>
            <w:tcW w:type="dxa" w:w="2200"/>
            <w:shd w:fill="F2F4F7"/>
            <w:vAlign w:val="center"/>
            <w:tcMar>
              <w:top w:w="90" w:type="dxa"/>
              <w:start w:w="120" w:type="dxa"/>
              <w:bottom w:w="90" w:type="dxa"/>
              <w:end w:w="120" w:type="dxa"/>
            </w:tcMar>
          </w:tcPr>
          <w:p>
            <w:r>
              <w:rPr>
                <w:b/>
              </w:rPr>
              <w:t>Leased Premises</w:t>
            </w:r>
          </w:p>
        </w:tc>
        <w:tc>
          <w:tcPr>
            <w:tcW w:type="dxa" w:w="7160"/>
            <w:vAlign w:val="center"/>
            <w:tcMar>
              <w:top w:w="90" w:type="dxa"/>
              <w:start w:w="120" w:type="dxa"/>
              <w:bottom w:w="90" w:type="dxa"/>
              <w:end w:w="120" w:type="dxa"/>
            </w:tcMar>
          </w:tcPr>
          <w:p>
            <w:r>
              <w:t>exclusive first and second levels</w:t>
            </w:r>
          </w:p>
        </w:tc>
      </w:tr>
      <w:tr>
        <w:tc>
          <w:tcPr>
            <w:tcW w:type="dxa" w:w="2200"/>
            <w:shd w:fill="F2F4F7"/>
            <w:vAlign w:val="center"/>
            <w:tcMar>
              <w:top w:w="90" w:type="dxa"/>
              <w:start w:w="120" w:type="dxa"/>
              <w:bottom w:w="90" w:type="dxa"/>
              <w:end w:w="120" w:type="dxa"/>
            </w:tcMar>
          </w:tcPr>
          <w:p>
            <w:r>
              <w:rPr>
                <w:b/>
              </w:rPr>
              <w:t>Term</w:t>
            </w:r>
          </w:p>
        </w:tc>
        <w:tc>
          <w:tcPr>
            <w:tcW w:type="dxa" w:w="7160"/>
            <w:vAlign w:val="center"/>
            <w:tcMar>
              <w:top w:w="90" w:type="dxa"/>
              <w:start w:w="120" w:type="dxa"/>
              <w:bottom w:w="90" w:type="dxa"/>
              <w:end w:w="120" w:type="dxa"/>
            </w:tcMar>
          </w:tcPr>
          <w:p>
            <w:r>
              <w:t>July 1, 2026 through June 30, 2027</w:t>
            </w:r>
          </w:p>
        </w:tc>
      </w:tr>
      <w:tr>
        <w:tc>
          <w:tcPr>
            <w:tcW w:type="dxa" w:w="2200"/>
            <w:shd w:fill="F2F4F7"/>
            <w:vAlign w:val="center"/>
            <w:tcMar>
              <w:top w:w="90" w:type="dxa"/>
              <w:start w:w="120" w:type="dxa"/>
              <w:bottom w:w="90" w:type="dxa"/>
              <w:end w:w="120" w:type="dxa"/>
            </w:tcMar>
          </w:tcPr>
          <w:p>
            <w:r>
              <w:rPr>
                <w:b/>
              </w:rPr>
              <w:t>Monthly Rent / Deposit</w:t>
            </w:r>
          </w:p>
        </w:tc>
        <w:tc>
          <w:tcPr>
            <w:tcW w:type="dxa" w:w="7160"/>
            <w:vAlign w:val="center"/>
            <w:tcMar>
              <w:top w:w="90" w:type="dxa"/>
              <w:start w:w="120" w:type="dxa"/>
              <w:bottom w:w="90" w:type="dxa"/>
              <w:end w:w="120" w:type="dxa"/>
            </w:tcMar>
          </w:tcPr>
          <w:p>
            <w:r>
              <w:t>$1,900.00 / $1,900.00</w:t>
            </w:r>
          </w:p>
        </w:tc>
      </w:tr>
    </w:tbl>
    <w:p/>
    <w:p>
      <w:pPr>
        <w:pStyle w:val="Heading1"/>
        <w:keepNext/>
      </w:pPr>
      <w:r>
        <w:t>1. PARTIES AND PREMISES</w:t>
      </w:r>
    </w:p>
    <w:p>
      <w:pPr>
        <w:keepLines w:val="0"/>
      </w:pPr>
      <w:r>
        <w:t>This Lease is between Katrice Harrington Wall ("Landlord") and Jasmine Wall ("Tenant"). Landlord rents to Tenant the exclusive first and second levels at 2114 Allendale Road, Baltimore, Maryland (the "Premises"). Tenant may use only the Premises and those common areas that Landlord designates for shared use.</w:t>
      </w:r>
    </w:p>
    <w:p>
      <w:pPr>
        <w:keepLines w:val="0"/>
      </w:pPr>
      <w:r>
        <w:t>The Premises are for residential use only. Only Tenant and any occupants approved in writing by Landlord may reside there. Tenant may not assign this Lease or sublet any portion without Landlord’s prior written consent.</w:t>
      </w:r>
    </w:p>
    <w:p>
      <w:pPr>
        <w:pStyle w:val="Heading1"/>
        <w:keepNext/>
      </w:pPr>
      <w:r>
        <w:t>2. TERM AND POSSESSION</w:t>
      </w:r>
    </w:p>
    <w:p>
      <w:pPr>
        <w:keepLines w:val="0"/>
      </w:pPr>
      <w:r>
        <w:t>The fixed term begins July 1, 2026 and ends June 30, 2027. Tenant shall receive possession after required move-in funds are paid and all required documents are signed. Holding over after the term requires Landlord’s written consent and is subject to applicable Maryland and Baltimore City law.</w:t>
      </w:r>
    </w:p>
    <w:p>
      <w:pPr>
        <w:pStyle w:val="Heading1"/>
        <w:keepNext/>
      </w:pPr>
      <w:r>
        <w:t>3. RENT</w:t>
      </w:r>
    </w:p>
    <w:p>
      <w:pPr>
        <w:keepLines w:val="0"/>
      </w:pPr>
      <w:r>
        <w:t>Tenant shall pay monthly rent of $1,900.00, due in advance on the first day of each month, without demand. Payment instructions: ________________________________________________.</w:t>
      </w:r>
    </w:p>
    <w:p>
      <w:pPr>
        <w:keepLines w:val="0"/>
      </w:pPr>
      <w:r>
        <w:t>If rent remains unpaid after any grace period required by law, Landlord may charge a late fee no greater than the lawful amount stated below. Acceptance of a partial payment does not waive the unpaid balance or any lawful remedy, except as applicable law provides.</w:t>
      </w:r>
    </w:p>
    <w:p>
      <w:pPr>
        <w:keepLines w:val="0"/>
      </w:pPr>
      <w:r>
        <w:t>Maximum late fee under this Lease: $95.00 (5% of one month’s rent). No late fee may exceed the amount permitted by Maryland law.</w:t>
      </w:r>
    </w:p>
    <w:p>
      <w:pPr>
        <w:pStyle w:val="Heading1"/>
        <w:keepNext/>
      </w:pPr>
      <w:r>
        <w:t>4. SECURITY DEPOSIT</w:t>
      </w:r>
    </w:p>
    <w:p>
      <w:pPr>
        <w:keepLines w:val="0"/>
      </w:pPr>
      <w:r>
        <w:t>Tenant shall pay a security deposit of $1,900.00. This amount is no more than one month’s rent and is the total security deposit under this Lease, including any amount associated with an approved pet. No additional $350 pet deposit is charged.</w:t>
      </w:r>
    </w:p>
    <w:p>
      <w:pPr>
        <w:keepLines w:val="0"/>
      </w:pPr>
      <w:r>
        <w:t>Landlord shall hold, account for, pay any required interest on, and return or withhold the security deposit in accordance with Maryland law. Tenant acknowledges the security-deposit receipt and notices in Exhibit A. The deposit may not be treated as the final month’s rent without Landlord’s written agreement.</w:t>
      </w:r>
    </w:p>
    <w:p>
      <w:pPr>
        <w:pStyle w:val="Heading1"/>
        <w:keepNext/>
      </w:pPr>
      <w:r>
        <w:t>5. UTILITIES AND SERVICES</w:t>
      </w:r>
    </w:p>
    <w:p>
      <w:pPr>
        <w:keepLines w:val="0"/>
      </w:pPr>
      <w:r>
        <w:t>Tenant is responsible for electricity, gas, water/sewer, internet, cable, telephone, and other services serving or properly allocated to the Premises, to the extent separately metered, separately contracted, or lawfully billed. Landlord may not allocate a shared utility except through a lawful written method disclosed to Tenant. Utility account or allocation details must be written below before signing.</w:t>
      </w:r>
    </w:p>
    <w:p>
      <w:pPr>
        <w:keepLines w:val="0"/>
      </w:pPr>
      <w:r>
        <w:t>Electricity: __________________  Gas: __________________  Water/sewer: __________________  Internet/cable: Tenant</w:t>
      </w:r>
    </w:p>
    <w:p>
      <w:pPr>
        <w:pStyle w:val="Heading1"/>
        <w:keepNext/>
      </w:pPr>
      <w:r>
        <w:t>6. RENTER’S INSURANCE</w:t>
      </w:r>
    </w:p>
    <w:p>
      <w:pPr>
        <w:keepLines w:val="0"/>
      </w:pPr>
      <w:r>
        <w:t>Throughout the tenancy, Tenant shall maintain renter’s insurance with at least $100,000 in personal-liability coverage and coverage for Tenant’s personal property. Tenant shall provide proof before move-in and upon renewal or reasonable request. Landlord’s insurance does not cover Tenant’s personal property, relocation costs, or personal liability.</w:t>
      </w:r>
    </w:p>
    <w:p>
      <w:pPr>
        <w:pStyle w:val="Heading1"/>
        <w:keepNext/>
      </w:pPr>
      <w:r>
        <w:t>7. PETS</w:t>
      </w:r>
    </w:p>
    <w:p>
      <w:pPr>
        <w:keepLines w:val="0"/>
      </w:pPr>
      <w:r>
        <w:t>Pets are allowed only with Landlord’s prior written approval. Before a pet occupies the Premises, Tenant shall identify the animal in the Pet Addendum. Tenant is responsible for pet damage, waste removal, nuisance, and compliance with licensing and vaccination laws. Assistance animals are governed by applicable fair-housing law and are not treated as pets. No additional pet deposit is required under this Lease.</w:t>
      </w:r>
    </w:p>
    <w:p>
      <w:pPr>
        <w:pStyle w:val="Heading1"/>
        <w:keepNext/>
      </w:pPr>
      <w:r>
        <w:t>8. SMOKING, VAPING, AND ILLEGAL ACTIVITY</w:t>
      </w:r>
    </w:p>
    <w:p>
      <w:pPr>
        <w:keepLines w:val="0"/>
      </w:pPr>
      <w:r>
        <w:t>Smoking and vaping are prohibited inside the Premises and all interior common areas. Tenant and guests shall not engage in unlawful activity, create a nuisance, threaten health or safety, or unreasonably disturb neighbors or other occupants.</w:t>
      </w:r>
    </w:p>
    <w:p>
      <w:pPr>
        <w:pStyle w:val="Heading1"/>
        <w:keepNext/>
      </w:pPr>
      <w:r>
        <w:t>9. PARKING</w:t>
      </w:r>
    </w:p>
    <w:p>
      <w:pPr>
        <w:keepLines w:val="0"/>
      </w:pPr>
      <w:r>
        <w:t>Parking is limited to lawful public street parking. No off-street space is promised or reserved. Tenant and guests must comply with posted restrictions, permit requirements, street-cleaning rules, and all other parking laws.</w:t>
      </w:r>
    </w:p>
    <w:p>
      <w:pPr>
        <w:pStyle w:val="Heading1"/>
        <w:keepNext/>
      </w:pPr>
      <w:r>
        <w:t>10. CONDITION, CARE, AND REPAIRS</w:t>
      </w:r>
    </w:p>
    <w:p>
      <w:pPr>
        <w:keepLines w:val="0"/>
      </w:pPr>
      <w:r>
        <w:t>Tenant accepts the Premises subject to the move-in inspection report, promises to keep them reasonably clean and safe, and shall promptly report leaks, loss of heat, electrical hazards, pests, mold or moisture, smoke/CO alarm problems, and other conditions requiring attention. Tenant may not alter, paint, install fixtures, change locks, or make repairs without written consent, except as law permits.</w:t>
      </w:r>
    </w:p>
    <w:p>
      <w:pPr>
        <w:keepLines w:val="0"/>
      </w:pPr>
      <w:r>
        <w:t>Tenant is responsible for damage caused by Tenant, occupants, guests, or pets beyond ordinary wear. Landlord shall maintain the property as required by law. Nothing in this Lease waives any nonwaivable habitability, repair, escrow, retaliation, or other tenant right.</w:t>
      </w:r>
    </w:p>
    <w:p>
      <w:pPr>
        <w:pStyle w:val="Heading1"/>
        <w:keepNext/>
      </w:pPr>
      <w:r>
        <w:t>11. ACCESS</w:t>
      </w:r>
    </w:p>
    <w:p>
      <w:pPr>
        <w:keepLines w:val="0"/>
      </w:pPr>
      <w:r>
        <w:t>Landlord may enter the Premises at reasonable times and with reasonable notice for inspection, repairs, services, showing the property, or other lawful purposes. Notice is not required in an emergency, when Tenant requests entry, or when otherwise permitted by law.</w:t>
      </w:r>
    </w:p>
    <w:p>
      <w:pPr>
        <w:pStyle w:val="Heading1"/>
        <w:keepNext/>
      </w:pPr>
      <w:r>
        <w:t>12. GUESTS, QUIET ENJOYMENT, AND COMMON AREAS</w:t>
      </w:r>
    </w:p>
    <w:p>
      <w:pPr>
        <w:keepLines w:val="0"/>
      </w:pPr>
      <w:r>
        <w:t>Tenant is responsible for occupants and guests. Extended occupancy by a guest requires Landlord’s written approval. Tenant shall use shared entrances, stairs, halls, yard, laundry, basement, trash areas, and other designated common areas without blocking access or interfering with other residents. No particular common area is included unless Landlord designates it in writing.</w:t>
      </w:r>
    </w:p>
    <w:p>
      <w:pPr>
        <w:pStyle w:val="Heading1"/>
        <w:keepNext/>
      </w:pPr>
      <w:r>
        <w:t>13. DEFAULT AND REMEDIES</w:t>
      </w:r>
    </w:p>
    <w:p>
      <w:pPr>
        <w:keepLines w:val="0"/>
      </w:pPr>
      <w:r>
        <w:t>If Tenant fails to pay rent or materially violates this Lease, Landlord may use only notices, court procedures, and remedies authorized by law. Landlord may not use self-help eviction, unlawfully interrupt essential services, or seize Tenant’s property. Tenant remains responsible for lawful amounts due, subject to Landlord’s duty to mitigate damages and all defenses and rights provided by law.</w:t>
      </w:r>
    </w:p>
    <w:p>
      <w:pPr>
        <w:pStyle w:val="Heading1"/>
        <w:keepNext/>
      </w:pPr>
      <w:r>
        <w:t>14. NOTICES</w:t>
      </w:r>
    </w:p>
    <w:p>
      <w:pPr>
        <w:keepLines w:val="0"/>
      </w:pPr>
      <w:r>
        <w:t>Formal notices shall be delivered as Maryland law requires. Landlord notice address: 2114 Allendale Road, Baltimore, Maryland, unless Landlord gives another written address. Tenant notice address is the Premises after occupancy. Email or text may be used for routine communication but does not replace legally required service unless the law permits and the parties agree in writing.</w:t>
      </w:r>
    </w:p>
    <w:p>
      <w:pPr>
        <w:pStyle w:val="Heading1"/>
        <w:keepNext/>
      </w:pPr>
      <w:r>
        <w:t>15. MARYLAND AND BALTIMORE CITY COMPLIANCE</w:t>
      </w:r>
    </w:p>
    <w:p>
      <w:pPr>
        <w:keepLines w:val="0"/>
      </w:pPr>
      <w:r>
        <w:t>Maryland law and applicable Baltimore City law govern this Lease. Landlord represents that the Premises will be offered for occupancy only as lawfully permitted and shall obtain any required rental license, inspection, registration, lead-risk documentation, and occupancy approval. Required disclosures and certificates are incorporated when attached.</w:t>
      </w:r>
    </w:p>
    <w:p>
      <w:pPr>
        <w:keepLines w:val="0"/>
      </w:pPr>
      <w:r>
        <w:t>Any lease term prohibited by law is unenforceable to that extent and shall be replaced by the lawful requirement without invalidating the remainder. No provision waives a right or remedy that cannot legally be waived.</w:t>
      </w:r>
    </w:p>
    <w:p>
      <w:pPr>
        <w:pStyle w:val="Heading1"/>
        <w:keepNext/>
      </w:pPr>
      <w:r>
        <w:t>16. ENTIRE AGREEMENT; CHANGES</w:t>
      </w:r>
    </w:p>
    <w:p>
      <w:pPr>
        <w:keepLines w:val="0"/>
      </w:pPr>
      <w:r>
        <w:t>This Lease and signed addenda are the entire agreement. Changes must be in a writing signed by both parties, except changes required by law. Headings aid reading but do not limit meaning. Electronic and counterpart signatures may be used to the extent allowed by law.</w:t>
      </w:r>
    </w:p>
    <w:p>
      <w:r>
        <w:br w:type="page"/>
      </w:r>
    </w:p>
    <w:p>
      <w:pPr>
        <w:pStyle w:val="Heading1"/>
        <w:jc w:val="center"/>
      </w:pPr>
      <w:r>
        <w:t>SIGNATURES</w:t>
      </w:r>
    </w:p>
    <w:p>
      <w:r>
        <w:t>By signing, the parties acknowledge that they have read this Lease, received a copy, and agree to its terms and attached addenda.</w:t>
      </w:r>
    </w:p>
    <w:tbl>
      <w:tblPr>
        <w:tblStyle w:val="TableGrid"/>
        <w:tblW w:type="dxa" w:w="9360"/>
        <w:tblLayout w:type="fixed"/>
        <w:tblLook w:firstColumn="1" w:firstRow="1" w:lastColumn="0" w:lastRow="0" w:noHBand="0" w:noVBand="1" w:val="04A0"/>
        <w:tblInd w:w="120" w:type="dxa"/>
      </w:tblPr>
      <w:tblGrid>
        <w:gridCol w:w="6500"/>
        <w:gridCol w:w="2860"/>
      </w:tblGrid>
      <w:tr>
        <w:tc>
          <w:tcPr>
            <w:tcW w:type="dxa" w:w="6500"/>
            <w:tcMar>
              <w:top w:w="90" w:type="dxa"/>
              <w:start w:w="120" w:type="dxa"/>
              <w:bottom w:w="90" w:type="dxa"/>
              <w:end w:w="120" w:type="dxa"/>
            </w:tcMar>
            <w:shd w:fill="F2F4F7"/>
          </w:tcPr>
          <w:p>
            <w:r>
              <w:t>Landlord signature</w:t>
            </w:r>
          </w:p>
        </w:tc>
        <w:tc>
          <w:tcPr>
            <w:tcW w:type="dxa" w:w="2860"/>
            <w:tcMar>
              <w:top w:w="90" w:type="dxa"/>
              <w:start w:w="120" w:type="dxa"/>
              <w:bottom w:w="90" w:type="dxa"/>
              <w:end w:w="120" w:type="dxa"/>
            </w:tcMar>
            <w:shd w:fill="F2F4F7"/>
          </w:tcPr>
          <w:p>
            <w:r>
              <w:t>Date</w:t>
            </w:r>
          </w:p>
        </w:tc>
      </w:tr>
      <w:tr>
        <w:tc>
          <w:tcPr>
            <w:tcW w:type="dxa" w:w="6500"/>
            <w:tcMar>
              <w:top w:w="90" w:type="dxa"/>
              <w:start w:w="120" w:type="dxa"/>
              <w:bottom w:w="90" w:type="dxa"/>
              <w:end w:w="120" w:type="dxa"/>
            </w:tcMar>
          </w:tcPr>
          <w:p>
            <w:r>
              <w:t>Katrice Harrington Wall</w:t>
            </w:r>
          </w:p>
        </w:tc>
        <w:tc>
          <w:tcPr>
            <w:tcW w:type="dxa" w:w="2860"/>
            <w:tcMar>
              <w:top w:w="90" w:type="dxa"/>
              <w:start w:w="120" w:type="dxa"/>
              <w:bottom w:w="90" w:type="dxa"/>
              <w:end w:w="120" w:type="dxa"/>
            </w:tcMar>
          </w:tcPr>
          <w:p>
            <w:r/>
          </w:p>
        </w:tc>
      </w:tr>
      <w:tr>
        <w:tc>
          <w:tcPr>
            <w:tcW w:type="dxa" w:w="6500"/>
            <w:tcMar>
              <w:top w:w="90" w:type="dxa"/>
              <w:start w:w="120" w:type="dxa"/>
              <w:bottom w:w="90" w:type="dxa"/>
              <w:end w:w="120" w:type="dxa"/>
            </w:tcMar>
            <w:shd w:fill="F2F4F7"/>
          </w:tcPr>
          <w:p>
            <w:r>
              <w:t>Tenant signature</w:t>
            </w:r>
          </w:p>
        </w:tc>
        <w:tc>
          <w:tcPr>
            <w:tcW w:type="dxa" w:w="2860"/>
            <w:tcMar>
              <w:top w:w="90" w:type="dxa"/>
              <w:start w:w="120" w:type="dxa"/>
              <w:bottom w:w="90" w:type="dxa"/>
              <w:end w:w="120" w:type="dxa"/>
            </w:tcMar>
            <w:shd w:fill="F2F4F7"/>
          </w:tcPr>
          <w:p>
            <w:r>
              <w:t>Date</w:t>
            </w:r>
          </w:p>
        </w:tc>
      </w:tr>
      <w:tr>
        <w:tc>
          <w:tcPr>
            <w:tcW w:type="dxa" w:w="6500"/>
            <w:tcMar>
              <w:top w:w="90" w:type="dxa"/>
              <w:start w:w="120" w:type="dxa"/>
              <w:bottom w:w="90" w:type="dxa"/>
              <w:end w:w="120" w:type="dxa"/>
            </w:tcMar>
          </w:tcPr>
          <w:p>
            <w:r>
              <w:t>Jasmine Wall</w:t>
            </w:r>
          </w:p>
        </w:tc>
        <w:tc>
          <w:tcPr>
            <w:tcW w:type="dxa" w:w="2860"/>
            <w:tcMar>
              <w:top w:w="90" w:type="dxa"/>
              <w:start w:w="120" w:type="dxa"/>
              <w:bottom w:w="90" w:type="dxa"/>
              <w:end w:w="120" w:type="dxa"/>
            </w:tcMar>
          </w:tcPr>
          <w:p>
            <w:r/>
          </w:p>
        </w:tc>
      </w:tr>
    </w:tbl>
    <w:p>
      <w:r>
        <w:t>Emergency contact for Tenant (optional): ______________________________________________</w:t>
      </w:r>
    </w:p>
    <w:p>
      <w:r>
        <w:t>Tenant phone/email: ______________________________________________________________</w:t>
      </w:r>
    </w:p>
    <w:p>
      <w:r>
        <w:t>Landlord phone/email: _____________________________________________________________</w:t>
      </w:r>
    </w:p>
    <w:p>
      <w:pPr>
        <w:pStyle w:val="Heading1"/>
      </w:pPr>
      <w:r>
        <w:t>EXHIBIT A — SECURITY-DEPOSIT RECEIPT AND STATUTORY NOTICES</w:t>
      </w:r>
    </w:p>
    <w:p>
      <w:r>
        <w:t>Landlord acknowledges receipt, subject to cleared funds, of $1,900.00 from Jasmine Wall as the security deposit for the Premises.</w:t>
      </w:r>
    </w:p>
    <w:p>
      <w:pPr>
        <w:pStyle w:val="ListBullet"/>
      </w:pPr>
      <w:r>
        <w:t>Tenant has the right to have the Premises inspected by Landlord in Tenant’s presence to make a written list of existing damage if Tenant requests the inspection by certified mail within 15 days after occupancy.</w:t>
      </w:r>
    </w:p>
    <w:p>
      <w:pPr>
        <w:pStyle w:val="ListBullet"/>
      </w:pPr>
      <w:r>
        <w:t>Tenant has the right to be present at the move-out inspection if Tenant notifies Landlord by certified mail of the intention to move, the move date, and Tenant’s new address. The notice must be mailed at least 15 days before moving. Landlord will notify Tenant of the inspection time as required by law.</w:t>
      </w:r>
    </w:p>
    <w:p>
      <w:pPr>
        <w:pStyle w:val="ListBullet"/>
      </w:pPr>
      <w:r>
        <w:t>Landlord will maintain the deposit, provide required interest, and send the deposit and/or an itemized statement of lawful deductions within the period required by Maryland law.</w:t>
      </w:r>
    </w:p>
    <w:p>
      <w:pPr>
        <w:pStyle w:val="ListBullet"/>
      </w:pPr>
      <w:r>
        <w:t>Failure by Landlord to comply with Maryland’s security-deposit requirements may result in liability provided by statute.</w:t>
      </w:r>
    </w:p>
    <w:p>
      <w:r>
        <w:t>Bank/financial institution and account disclosure, if required or provided: ______________________________</w:t>
      </w:r>
    </w:p>
    <w:p>
      <w:r>
        <w:t>Tenant initials acknowledging receipt: __________    Landlord initials: __________</w:t>
      </w:r>
    </w:p>
    <w:p>
      <w:pPr>
        <w:pStyle w:val="Heading1"/>
      </w:pPr>
      <w:r>
        <w:t>EXHIBIT B — PET ADDENDUM</w:t>
      </w:r>
    </w:p>
    <w:tbl>
      <w:tblPr>
        <w:tblStyle w:val="TableGrid"/>
        <w:tblW w:type="dxa" w:w="9360"/>
        <w:tblLayout w:type="fixed"/>
        <w:tblLook w:firstColumn="1" w:firstRow="1" w:lastColumn="0" w:lastRow="0" w:noHBand="0" w:noVBand="1" w:val="04A0"/>
        <w:tblInd w:w="120" w:type="dxa"/>
      </w:tblPr>
      <w:tblGrid>
        <w:gridCol w:w="3000"/>
        <w:gridCol w:w="6360"/>
      </w:tblGrid>
      <w:tr>
        <w:tc>
          <w:tcPr>
            <w:tcW w:type="dxa" w:w="3000"/>
            <w:shd w:fill="F2F4F7"/>
            <w:tcMar>
              <w:top w:w="90" w:type="dxa"/>
              <w:start w:w="120" w:type="dxa"/>
              <w:bottom w:w="90" w:type="dxa"/>
              <w:end w:w="120" w:type="dxa"/>
            </w:tcMar>
          </w:tcPr>
          <w:p>
            <w:r>
              <w:rPr>
                <w:b/>
              </w:rPr>
              <w:t>Pet name</w:t>
            </w:r>
          </w:p>
        </w:tc>
        <w:tc>
          <w:tcPr>
            <w:tcW w:type="dxa" w:w="6360"/>
            <w:tcMar>
              <w:top w:w="90" w:type="dxa"/>
              <w:start w:w="120" w:type="dxa"/>
              <w:bottom w:w="90" w:type="dxa"/>
              <w:end w:w="120" w:type="dxa"/>
            </w:tcMar>
          </w:tcPr>
          <w:p>
            <w:r/>
          </w:p>
        </w:tc>
      </w:tr>
      <w:tr>
        <w:tc>
          <w:tcPr>
            <w:tcW w:type="dxa" w:w="3000"/>
            <w:shd w:fill="F2F4F7"/>
            <w:tcMar>
              <w:top w:w="90" w:type="dxa"/>
              <w:start w:w="120" w:type="dxa"/>
              <w:bottom w:w="90" w:type="dxa"/>
              <w:end w:w="120" w:type="dxa"/>
            </w:tcMar>
          </w:tcPr>
          <w:p>
            <w:r>
              <w:rPr>
                <w:b/>
              </w:rPr>
              <w:t>Type/breed</w:t>
            </w:r>
          </w:p>
        </w:tc>
        <w:tc>
          <w:tcPr>
            <w:tcW w:type="dxa" w:w="6360"/>
            <w:tcMar>
              <w:top w:w="90" w:type="dxa"/>
              <w:start w:w="120" w:type="dxa"/>
              <w:bottom w:w="90" w:type="dxa"/>
              <w:end w:w="120" w:type="dxa"/>
            </w:tcMar>
          </w:tcPr>
          <w:p>
            <w:r/>
          </w:p>
        </w:tc>
      </w:tr>
      <w:tr>
        <w:tc>
          <w:tcPr>
            <w:tcW w:type="dxa" w:w="3000"/>
            <w:shd w:fill="F2F4F7"/>
            <w:tcMar>
              <w:top w:w="90" w:type="dxa"/>
              <w:start w:w="120" w:type="dxa"/>
              <w:bottom w:w="90" w:type="dxa"/>
              <w:end w:w="120" w:type="dxa"/>
            </w:tcMar>
          </w:tcPr>
          <w:p>
            <w:r>
              <w:rPr>
                <w:b/>
              </w:rPr>
              <w:t>Color/description</w:t>
            </w:r>
          </w:p>
        </w:tc>
        <w:tc>
          <w:tcPr>
            <w:tcW w:type="dxa" w:w="6360"/>
            <w:tcMar>
              <w:top w:w="90" w:type="dxa"/>
              <w:start w:w="120" w:type="dxa"/>
              <w:bottom w:w="90" w:type="dxa"/>
              <w:end w:w="120" w:type="dxa"/>
            </w:tcMar>
          </w:tcPr>
          <w:p>
            <w:r/>
          </w:p>
        </w:tc>
      </w:tr>
      <w:tr>
        <w:tc>
          <w:tcPr>
            <w:tcW w:type="dxa" w:w="3000"/>
            <w:shd w:fill="F2F4F7"/>
            <w:tcMar>
              <w:top w:w="90" w:type="dxa"/>
              <w:start w:w="120" w:type="dxa"/>
              <w:bottom w:w="90" w:type="dxa"/>
              <w:end w:w="120" w:type="dxa"/>
            </w:tcMar>
          </w:tcPr>
          <w:p>
            <w:r>
              <w:rPr>
                <w:b/>
              </w:rPr>
              <w:t>Approximate weight</w:t>
            </w:r>
          </w:p>
        </w:tc>
        <w:tc>
          <w:tcPr>
            <w:tcW w:type="dxa" w:w="6360"/>
            <w:tcMar>
              <w:top w:w="90" w:type="dxa"/>
              <w:start w:w="120" w:type="dxa"/>
              <w:bottom w:w="90" w:type="dxa"/>
              <w:end w:w="120" w:type="dxa"/>
            </w:tcMar>
          </w:tcPr>
          <w:p>
            <w:r/>
          </w:p>
        </w:tc>
      </w:tr>
      <w:tr>
        <w:tc>
          <w:tcPr>
            <w:tcW w:type="dxa" w:w="3000"/>
            <w:shd w:fill="F2F4F7"/>
            <w:tcMar>
              <w:top w:w="90" w:type="dxa"/>
              <w:start w:w="120" w:type="dxa"/>
              <w:bottom w:w="90" w:type="dxa"/>
              <w:end w:w="120" w:type="dxa"/>
            </w:tcMar>
          </w:tcPr>
          <w:p>
            <w:r>
              <w:rPr>
                <w:b/>
              </w:rPr>
              <w:t>License/vaccination information</w:t>
            </w:r>
          </w:p>
        </w:tc>
        <w:tc>
          <w:tcPr>
            <w:tcW w:type="dxa" w:w="6360"/>
            <w:tcMar>
              <w:top w:w="90" w:type="dxa"/>
              <w:start w:w="120" w:type="dxa"/>
              <w:bottom w:w="90" w:type="dxa"/>
              <w:end w:w="120" w:type="dxa"/>
            </w:tcMar>
          </w:tcPr>
          <w:p>
            <w:r/>
          </w:p>
        </w:tc>
      </w:tr>
    </w:tbl>
    <w:p>
      <w:r>
        <w:t>Tenant shall control the pet, promptly remove waste, prevent nuisance, and pay for pet-caused damage beyond ordinary wear. This addendum does not impose an additional security deposit or limit lawful accommodation of an assistance animal.</w:t>
      </w:r>
    </w:p>
    <w:p>
      <w:r>
        <w:t>Tenant initials: __________    Landlord initials: __________</w:t>
      </w:r>
    </w:p>
    <w:p>
      <w:pPr>
        <w:pStyle w:val="Heading1"/>
      </w:pPr>
      <w:r>
        <w:t>EXHIBIT C — MOVE-IN CONDITION REPORT</w:t>
      </w:r>
    </w:p>
    <w:tbl>
      <w:tblPr>
        <w:tblStyle w:val="TableGrid"/>
        <w:tblW w:type="dxa" w:w="9360"/>
        <w:tblLayout w:type="fixed"/>
        <w:tblLook w:firstColumn="1" w:firstRow="1" w:lastColumn="0" w:lastRow="0" w:noHBand="0" w:noVBand="1" w:val="04A0"/>
        <w:tblInd w:w="120" w:type="dxa"/>
      </w:tblPr>
      <w:tblGrid>
        <w:gridCol w:w="2200"/>
        <w:gridCol w:w="2500"/>
        <w:gridCol w:w="4660"/>
      </w:tblGrid>
      <w:tr>
        <w:trPr>
          <w:tblHeader w:val="true"/>
          <w:cantSplit/>
        </w:trPr>
        <w:tc>
          <w:tcPr>
            <w:tcW w:type="dxa" w:w="2200"/>
            <w:shd w:fill="D9E2F3"/>
            <w:tcMar>
              <w:top w:w="90" w:type="dxa"/>
              <w:start w:w="120" w:type="dxa"/>
              <w:bottom w:w="90" w:type="dxa"/>
              <w:end w:w="120" w:type="dxa"/>
            </w:tcMar>
          </w:tcPr>
          <w:p>
            <w:r>
              <w:rPr>
                <w:b/>
              </w:rPr>
              <w:t>Area/item</w:t>
            </w:r>
          </w:p>
        </w:tc>
        <w:tc>
          <w:tcPr>
            <w:tcW w:type="dxa" w:w="2500"/>
            <w:shd w:fill="D9E2F3"/>
            <w:tcMar>
              <w:top w:w="90" w:type="dxa"/>
              <w:start w:w="120" w:type="dxa"/>
              <w:bottom w:w="90" w:type="dxa"/>
              <w:end w:w="120" w:type="dxa"/>
            </w:tcMar>
          </w:tcPr>
          <w:p>
            <w:r>
              <w:rPr>
                <w:b/>
              </w:rPr>
              <w:t>Condition at move-in</w:t>
            </w:r>
          </w:p>
        </w:tc>
        <w:tc>
          <w:tcPr>
            <w:tcW w:type="dxa" w:w="4660"/>
            <w:shd w:fill="D9E2F3"/>
            <w:tcMar>
              <w:top w:w="90" w:type="dxa"/>
              <w:start w:w="120" w:type="dxa"/>
              <w:bottom w:w="90" w:type="dxa"/>
              <w:end w:w="120" w:type="dxa"/>
            </w:tcMar>
          </w:tcPr>
          <w:p>
            <w:r>
              <w:rPr>
                <w:b/>
              </w:rPr>
              <w:t>Notes / existing damage</w:t>
            </w:r>
          </w:p>
        </w:tc>
      </w:tr>
      <w:tr>
        <w:trPr>
          <w:cantSplit/>
        </w:trPr>
        <w:tc>
          <w:tcPr>
            <w:tcW w:type="dxa" w:w="2200"/>
            <w:tcMar>
              <w:top w:w="90" w:type="dxa"/>
              <w:start w:w="120" w:type="dxa"/>
              <w:bottom w:w="90" w:type="dxa"/>
              <w:end w:w="120" w:type="dxa"/>
            </w:tcMar>
          </w:tcPr>
          <w:p>
            <w:r>
              <w:t>Walls/ceilings</w:t>
            </w:r>
          </w:p>
        </w:tc>
        <w:tc>
          <w:tcPr>
            <w:tcW w:type="dxa" w:w="2500"/>
            <w:tcMar>
              <w:top w:w="90" w:type="dxa"/>
              <w:start w:w="120" w:type="dxa"/>
              <w:bottom w:w="90" w:type="dxa"/>
              <w:end w:w="120" w:type="dxa"/>
            </w:tcMar>
          </w:tcPr>
          <w:p/>
        </w:tc>
        <w:tc>
          <w:tcPr>
            <w:tcW w:type="dxa" w:w="4660"/>
            <w:tcMar>
              <w:top w:w="90" w:type="dxa"/>
              <w:start w:w="120" w:type="dxa"/>
              <w:bottom w:w="90" w:type="dxa"/>
              <w:end w:w="120" w:type="dxa"/>
            </w:tcMar>
          </w:tcPr>
          <w:p/>
        </w:tc>
      </w:tr>
      <w:tr>
        <w:trPr>
          <w:cantSplit/>
        </w:trPr>
        <w:tc>
          <w:tcPr>
            <w:tcW w:type="dxa" w:w="2200"/>
            <w:tcMar>
              <w:top w:w="90" w:type="dxa"/>
              <w:start w:w="120" w:type="dxa"/>
              <w:bottom w:w="90" w:type="dxa"/>
              <w:end w:w="120" w:type="dxa"/>
            </w:tcMar>
          </w:tcPr>
          <w:p>
            <w:r>
              <w:t>Floors/carpets</w:t>
            </w:r>
          </w:p>
        </w:tc>
        <w:tc>
          <w:tcPr>
            <w:tcW w:type="dxa" w:w="2500"/>
            <w:tcMar>
              <w:top w:w="90" w:type="dxa"/>
              <w:start w:w="120" w:type="dxa"/>
              <w:bottom w:w="90" w:type="dxa"/>
              <w:end w:w="120" w:type="dxa"/>
            </w:tcMar>
          </w:tcPr>
          <w:p/>
        </w:tc>
        <w:tc>
          <w:tcPr>
            <w:tcW w:type="dxa" w:w="4660"/>
            <w:tcMar>
              <w:top w:w="90" w:type="dxa"/>
              <w:start w:w="120" w:type="dxa"/>
              <w:bottom w:w="90" w:type="dxa"/>
              <w:end w:w="120" w:type="dxa"/>
            </w:tcMar>
          </w:tcPr>
          <w:p/>
        </w:tc>
      </w:tr>
      <w:tr>
        <w:trPr>
          <w:cantSplit/>
        </w:trPr>
        <w:tc>
          <w:tcPr>
            <w:tcW w:type="dxa" w:w="2200"/>
            <w:tcMar>
              <w:top w:w="90" w:type="dxa"/>
              <w:start w:w="120" w:type="dxa"/>
              <w:bottom w:w="90" w:type="dxa"/>
              <w:end w:w="120" w:type="dxa"/>
            </w:tcMar>
          </w:tcPr>
          <w:p>
            <w:r>
              <w:t>Windows/doors/locks</w:t>
            </w:r>
          </w:p>
        </w:tc>
        <w:tc>
          <w:tcPr>
            <w:tcW w:type="dxa" w:w="2500"/>
            <w:tcMar>
              <w:top w:w="90" w:type="dxa"/>
              <w:start w:w="120" w:type="dxa"/>
              <w:bottom w:w="90" w:type="dxa"/>
              <w:end w:w="120" w:type="dxa"/>
            </w:tcMar>
          </w:tcPr>
          <w:p/>
        </w:tc>
        <w:tc>
          <w:tcPr>
            <w:tcW w:type="dxa" w:w="4660"/>
            <w:tcMar>
              <w:top w:w="90" w:type="dxa"/>
              <w:start w:w="120" w:type="dxa"/>
              <w:bottom w:w="90" w:type="dxa"/>
              <w:end w:w="120" w:type="dxa"/>
            </w:tcMar>
          </w:tcPr>
          <w:p/>
        </w:tc>
      </w:tr>
      <w:tr>
        <w:trPr>
          <w:cantSplit/>
        </w:trPr>
        <w:tc>
          <w:tcPr>
            <w:tcW w:type="dxa" w:w="2200"/>
            <w:tcMar>
              <w:top w:w="90" w:type="dxa"/>
              <w:start w:w="120" w:type="dxa"/>
              <w:bottom w:w="90" w:type="dxa"/>
              <w:end w:w="120" w:type="dxa"/>
            </w:tcMar>
          </w:tcPr>
          <w:p>
            <w:r>
              <w:t>Kitchen/appliances</w:t>
            </w:r>
          </w:p>
        </w:tc>
        <w:tc>
          <w:tcPr>
            <w:tcW w:type="dxa" w:w="2500"/>
            <w:tcMar>
              <w:top w:w="90" w:type="dxa"/>
              <w:start w:w="120" w:type="dxa"/>
              <w:bottom w:w="90" w:type="dxa"/>
              <w:end w:w="120" w:type="dxa"/>
            </w:tcMar>
          </w:tcPr>
          <w:p/>
        </w:tc>
        <w:tc>
          <w:tcPr>
            <w:tcW w:type="dxa" w:w="4660"/>
            <w:tcMar>
              <w:top w:w="90" w:type="dxa"/>
              <w:start w:w="120" w:type="dxa"/>
              <w:bottom w:w="90" w:type="dxa"/>
              <w:end w:w="120" w:type="dxa"/>
            </w:tcMar>
          </w:tcPr>
          <w:p/>
        </w:tc>
      </w:tr>
      <w:tr>
        <w:trPr>
          <w:cantSplit/>
        </w:trPr>
        <w:tc>
          <w:tcPr>
            <w:tcW w:type="dxa" w:w="2200"/>
            <w:tcMar>
              <w:top w:w="90" w:type="dxa"/>
              <w:start w:w="120" w:type="dxa"/>
              <w:bottom w:w="90" w:type="dxa"/>
              <w:end w:w="120" w:type="dxa"/>
            </w:tcMar>
          </w:tcPr>
          <w:p>
            <w:r>
              <w:t>Bathrooms/plumbing</w:t>
            </w:r>
          </w:p>
        </w:tc>
        <w:tc>
          <w:tcPr>
            <w:tcW w:type="dxa" w:w="2500"/>
            <w:tcMar>
              <w:top w:w="90" w:type="dxa"/>
              <w:start w:w="120" w:type="dxa"/>
              <w:bottom w:w="90" w:type="dxa"/>
              <w:end w:w="120" w:type="dxa"/>
            </w:tcMar>
          </w:tcPr>
          <w:p/>
        </w:tc>
        <w:tc>
          <w:tcPr>
            <w:tcW w:type="dxa" w:w="4660"/>
            <w:tcMar>
              <w:top w:w="90" w:type="dxa"/>
              <w:start w:w="120" w:type="dxa"/>
              <w:bottom w:w="90" w:type="dxa"/>
              <w:end w:w="120" w:type="dxa"/>
            </w:tcMar>
          </w:tcPr>
          <w:p/>
        </w:tc>
      </w:tr>
      <w:tr>
        <w:trPr>
          <w:cantSplit/>
        </w:trPr>
        <w:tc>
          <w:tcPr>
            <w:tcW w:type="dxa" w:w="2200"/>
            <w:tcMar>
              <w:top w:w="90" w:type="dxa"/>
              <w:start w:w="120" w:type="dxa"/>
              <w:bottom w:w="90" w:type="dxa"/>
              <w:end w:w="120" w:type="dxa"/>
            </w:tcMar>
          </w:tcPr>
          <w:p>
            <w:r>
              <w:t>Smoke/CO alarms</w:t>
            </w:r>
          </w:p>
        </w:tc>
        <w:tc>
          <w:tcPr>
            <w:tcW w:type="dxa" w:w="2500"/>
            <w:tcMar>
              <w:top w:w="90" w:type="dxa"/>
              <w:start w:w="120" w:type="dxa"/>
              <w:bottom w:w="90" w:type="dxa"/>
              <w:end w:w="120" w:type="dxa"/>
            </w:tcMar>
          </w:tcPr>
          <w:p/>
        </w:tc>
        <w:tc>
          <w:tcPr>
            <w:tcW w:type="dxa" w:w="4660"/>
            <w:tcMar>
              <w:top w:w="90" w:type="dxa"/>
              <w:start w:w="120" w:type="dxa"/>
              <w:bottom w:w="90" w:type="dxa"/>
              <w:end w:w="120" w:type="dxa"/>
            </w:tcMar>
          </w:tcPr>
          <w:p/>
        </w:tc>
      </w:tr>
      <w:tr>
        <w:trPr>
          <w:cantSplit/>
        </w:trPr>
        <w:tc>
          <w:tcPr>
            <w:tcW w:type="dxa" w:w="2200"/>
            <w:tcMar>
              <w:top w:w="90" w:type="dxa"/>
              <w:start w:w="120" w:type="dxa"/>
              <w:bottom w:w="90" w:type="dxa"/>
              <w:end w:w="120" w:type="dxa"/>
            </w:tcMar>
          </w:tcPr>
          <w:p>
            <w:r>
              <w:t>Other</w:t>
            </w:r>
          </w:p>
        </w:tc>
        <w:tc>
          <w:tcPr>
            <w:tcW w:type="dxa" w:w="2500"/>
            <w:tcMar>
              <w:top w:w="90" w:type="dxa"/>
              <w:start w:w="120" w:type="dxa"/>
              <w:bottom w:w="90" w:type="dxa"/>
              <w:end w:w="120" w:type="dxa"/>
            </w:tcMar>
          </w:tcPr>
          <w:p/>
        </w:tc>
        <w:tc>
          <w:tcPr>
            <w:tcW w:type="dxa" w:w="4660"/>
            <w:tcMar>
              <w:top w:w="90" w:type="dxa"/>
              <w:start w:w="120" w:type="dxa"/>
              <w:bottom w:w="90" w:type="dxa"/>
              <w:end w:w="120" w:type="dxa"/>
            </w:tcMar>
          </w:tcPr>
          <w:p/>
        </w:tc>
      </w:tr>
    </w:tbl>
    <w:p>
      <w:r>
        <w:t>Tenant initials: __________    Landlord initials: __________    Inspection date: ______________</w:t>
      </w:r>
    </w:p>
    <w:p>
      <w:pPr>
        <w:pStyle w:val="Heading1"/>
      </w:pPr>
      <w:r>
        <w:t>LANDLORD COMPLIANCE CHECKLIST — COMPLETE BEFORE SIGNING</w:t>
      </w:r>
    </w:p>
    <w:p>
      <w:pPr>
        <w:pStyle w:val="ListBullet"/>
      </w:pPr>
      <w:r>
        <w:t>Confirm that renting separate floors is lawful under the property’s zoning, occupancy, licensing, and building/fire approvals.</w:t>
      </w:r>
    </w:p>
    <w:p>
      <w:pPr>
        <w:pStyle w:val="ListBullet"/>
      </w:pPr>
      <w:r>
        <w:t>Enter the Baltimore City rental-license number and expiration date: ______________________________.</w:t>
      </w:r>
    </w:p>
    <w:p>
      <w:pPr>
        <w:pStyle w:val="ListBullet"/>
      </w:pPr>
      <w:r>
        <w:t>Attach the current rental inspection/registration documents required for the property.</w:t>
      </w:r>
    </w:p>
    <w:p>
      <w:pPr>
        <w:pStyle w:val="ListBullet"/>
      </w:pPr>
      <w:r>
        <w:t>If the property was built before 1978, attach the federal lead-based paint disclosure, EPA pamphlet, and all Maryland lead-risk-reduction documents that apply.</w:t>
      </w:r>
    </w:p>
    <w:p>
      <w:pPr>
        <w:pStyle w:val="ListBullet"/>
      </w:pPr>
      <w:r>
        <w:t>Complete the utility-allocation blanks; do not charge a tenant for a shared utility without a lawful written allocation method.</w:t>
      </w:r>
    </w:p>
    <w:p>
      <w:pPr>
        <w:pStyle w:val="ListBullet"/>
      </w:pPr>
      <w:r>
        <w:t>Have a Maryland landlord-tenant attorney or licensed housing professional review the final package before execution.</w:t>
      </w:r>
    </w:p>
    <w:sectPr w:rsidR="00FC693F" w:rsidRPr="0006063C" w:rsidSect="00034616">
      <w:headerReference w:type="default" r:id="rId9"/>
      <w:footerReference w:type="default" r:id="rId10"/>
      <w:pgSz w:w="12240" w:h="15840"/>
      <w:pgMar w:top="1224" w:right="1296" w:bottom="1224"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5F6368"/>
        <w:sz w:val="17"/>
      </w:rPr>
      <w:t>RESIDENTIAL LEASE | JASMINE WALL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Calibri" w:hAnsi="Calibri"/>
      <w:b/>
      <w:bCs/>
      <w:color w:val="2E74B5"/>
      <w:sz w:val="26"/>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Calibri" w:hAnsi="Calibri"/>
      <w:b/>
      <w:bCs/>
      <w:color w:val="1F374E"/>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