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F88E2" w14:textId="03378A4B" w:rsidR="00EF32A4" w:rsidRDefault="00EF32A4" w:rsidP="00EF32A4">
      <w:pPr>
        <w:rPr>
          <w:rFonts w:ascii="Arial" w:hAnsi="Arial" w:cs="Arial"/>
          <w:b/>
          <w:sz w:val="28"/>
          <w:szCs w:val="28"/>
        </w:rPr>
      </w:pPr>
      <w:r>
        <w:rPr>
          <w:rFonts w:ascii="Arial" w:hAnsi="Arial" w:cs="Arial"/>
          <w:b/>
          <w:sz w:val="28"/>
          <w:szCs w:val="28"/>
        </w:rPr>
        <w:t xml:space="preserve">Fashion </w:t>
      </w:r>
      <w:r w:rsidRPr="005A7F6D">
        <w:rPr>
          <w:rFonts w:ascii="Arial" w:hAnsi="Arial" w:cs="Arial"/>
          <w:b/>
          <w:sz w:val="28"/>
          <w:szCs w:val="28"/>
        </w:rPr>
        <w:t>Merchandising</w:t>
      </w:r>
      <w:r>
        <w:rPr>
          <w:rFonts w:ascii="Arial" w:hAnsi="Arial" w:cs="Arial"/>
          <w:b/>
          <w:sz w:val="28"/>
          <w:szCs w:val="28"/>
        </w:rPr>
        <w:t>: Principles and Practice</w:t>
      </w:r>
      <w:r w:rsidR="007B7742">
        <w:rPr>
          <w:rFonts w:ascii="Arial" w:hAnsi="Arial" w:cs="Arial"/>
          <w:b/>
          <w:sz w:val="28"/>
          <w:szCs w:val="28"/>
        </w:rPr>
        <w:t xml:space="preserve"> 2</w:t>
      </w:r>
      <w:bookmarkStart w:id="0" w:name="_GoBack"/>
      <w:bookmarkEnd w:id="0"/>
    </w:p>
    <w:p w14:paraId="47233226" w14:textId="1BF25598" w:rsidR="00EF32A4" w:rsidRDefault="00EF32A4" w:rsidP="00EF32A4">
      <w:pPr>
        <w:rPr>
          <w:sz w:val="20"/>
          <w:szCs w:val="20"/>
        </w:rPr>
      </w:pPr>
      <w:r>
        <w:rPr>
          <w:rFonts w:ascii="Arial" w:hAnsi="Arial" w:cs="Arial"/>
          <w:b/>
          <w:sz w:val="28"/>
          <w:szCs w:val="28"/>
        </w:rPr>
        <w:t>Budgeting</w:t>
      </w:r>
    </w:p>
    <w:p w14:paraId="2C47B2F3" w14:textId="77777777" w:rsidR="002E3874" w:rsidRPr="00EF32A4" w:rsidRDefault="002E3874" w:rsidP="002E3874">
      <w:r w:rsidRPr="00EF32A4">
        <w:t>Ensuring that a product range will deliver economic benefit as well as being in line with relevant fashion trends is the core role of Buying and Merchandising. The merchandiser is charged with ensuring the former element within supplying fashion product to the customer.</w:t>
      </w:r>
    </w:p>
    <w:p w14:paraId="55A8D145" w14:textId="77777777" w:rsidR="00EF32A4" w:rsidRPr="00EF32A4" w:rsidRDefault="00EF32A4">
      <w:pPr>
        <w:rPr>
          <w:rFonts w:ascii="Arial" w:hAnsi="Arial" w:cs="Arial"/>
        </w:rPr>
      </w:pPr>
    </w:p>
    <w:p w14:paraId="4871185C" w14:textId="77777777" w:rsidR="002E3874" w:rsidRPr="00EF32A4" w:rsidRDefault="002E3874">
      <w:pPr>
        <w:rPr>
          <w:rFonts w:ascii="Arial" w:hAnsi="Arial" w:cs="Arial"/>
        </w:rPr>
      </w:pPr>
      <w:r w:rsidRPr="00EF32A4">
        <w:rPr>
          <w:rFonts w:ascii="Arial" w:hAnsi="Arial" w:cs="Arial"/>
        </w:rPr>
        <w:t>Exercise</w:t>
      </w:r>
      <w:r w:rsidR="00B73B64" w:rsidRPr="00EF32A4">
        <w:rPr>
          <w:rFonts w:ascii="Arial" w:hAnsi="Arial" w:cs="Arial"/>
        </w:rPr>
        <w:t>s</w:t>
      </w:r>
      <w:r w:rsidRPr="00EF32A4">
        <w:rPr>
          <w:rFonts w:ascii="Arial" w:hAnsi="Arial" w:cs="Arial"/>
        </w:rPr>
        <w:t xml:space="preserve"> 1 </w:t>
      </w:r>
      <w:r w:rsidR="00B73B64" w:rsidRPr="00EF32A4">
        <w:rPr>
          <w:rFonts w:ascii="Arial" w:hAnsi="Arial" w:cs="Arial"/>
        </w:rPr>
        <w:t xml:space="preserve">and 2 </w:t>
      </w:r>
      <w:r w:rsidRPr="00EF32A4">
        <w:rPr>
          <w:rFonts w:ascii="Arial" w:hAnsi="Arial" w:cs="Arial"/>
        </w:rPr>
        <w:t>– Understanding the relationship between budgets</w:t>
      </w:r>
    </w:p>
    <w:p w14:paraId="35C06886" w14:textId="77777777" w:rsidR="00B73B64" w:rsidRPr="00EF32A4" w:rsidRDefault="00B73B64" w:rsidP="002E3874">
      <w:pPr>
        <w:rPr>
          <w:rFonts w:ascii="Arial" w:hAnsi="Arial" w:cs="Arial"/>
        </w:rPr>
      </w:pPr>
      <w:r w:rsidRPr="00EF32A4">
        <w:rPr>
          <w:rFonts w:ascii="Arial" w:hAnsi="Arial" w:cs="Arial"/>
        </w:rPr>
        <w:t>The sales turnover and markdown spend budgets are linked. See the relationship in the two exercises below:</w:t>
      </w:r>
    </w:p>
    <w:p w14:paraId="3176B41F" w14:textId="77777777" w:rsidR="00B73B64" w:rsidRPr="00EF32A4" w:rsidRDefault="00B73B64" w:rsidP="002E3874">
      <w:pPr>
        <w:rPr>
          <w:rFonts w:ascii="Arial" w:hAnsi="Arial" w:cs="Arial"/>
        </w:rPr>
      </w:pPr>
      <w:r w:rsidRPr="00EF32A4">
        <w:rPr>
          <w:rFonts w:ascii="Arial" w:hAnsi="Arial" w:cs="Arial"/>
        </w:rPr>
        <w:t>Exercise 1: The impact of only selling 50% of the range at full price</w:t>
      </w:r>
    </w:p>
    <w:tbl>
      <w:tblPr>
        <w:tblW w:w="10580" w:type="dxa"/>
        <w:tblInd w:w="-861" w:type="dxa"/>
        <w:tblLook w:val="04A0" w:firstRow="1" w:lastRow="0" w:firstColumn="1" w:lastColumn="0" w:noHBand="0" w:noVBand="1"/>
      </w:tblPr>
      <w:tblGrid>
        <w:gridCol w:w="3931"/>
        <w:gridCol w:w="1115"/>
        <w:gridCol w:w="5534"/>
      </w:tblGrid>
      <w:tr w:rsidR="00B73B64" w:rsidRPr="00EF32A4" w14:paraId="7CB3E878" w14:textId="77777777" w:rsidTr="00B73B64">
        <w:trPr>
          <w:trHeight w:val="323"/>
        </w:trPr>
        <w:tc>
          <w:tcPr>
            <w:tcW w:w="3931" w:type="dxa"/>
            <w:tcBorders>
              <w:top w:val="single" w:sz="8" w:space="0" w:color="auto"/>
              <w:left w:val="single" w:sz="8" w:space="0" w:color="auto"/>
              <w:bottom w:val="nil"/>
              <w:right w:val="single" w:sz="8" w:space="0" w:color="auto"/>
            </w:tcBorders>
            <w:shd w:val="clear" w:color="auto" w:fill="auto"/>
            <w:vAlign w:val="center"/>
            <w:hideMark/>
          </w:tcPr>
          <w:p w14:paraId="31E8E22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units bought</w:t>
            </w:r>
          </w:p>
        </w:tc>
        <w:tc>
          <w:tcPr>
            <w:tcW w:w="1115" w:type="dxa"/>
            <w:tcBorders>
              <w:top w:val="single" w:sz="8" w:space="0" w:color="auto"/>
              <w:left w:val="nil"/>
              <w:bottom w:val="nil"/>
              <w:right w:val="single" w:sz="8" w:space="0" w:color="auto"/>
            </w:tcBorders>
            <w:shd w:val="clear" w:color="auto" w:fill="auto"/>
            <w:vAlign w:val="center"/>
            <w:hideMark/>
          </w:tcPr>
          <w:p w14:paraId="4E37CFCC"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50</w:t>
            </w:r>
          </w:p>
        </w:tc>
        <w:tc>
          <w:tcPr>
            <w:tcW w:w="5534" w:type="dxa"/>
            <w:tcBorders>
              <w:top w:val="single" w:sz="8" w:space="0" w:color="auto"/>
              <w:left w:val="nil"/>
              <w:bottom w:val="nil"/>
              <w:right w:val="single" w:sz="8" w:space="0" w:color="auto"/>
            </w:tcBorders>
            <w:shd w:val="clear" w:color="auto" w:fill="auto"/>
            <w:noWrap/>
            <w:vAlign w:val="bottom"/>
            <w:hideMark/>
          </w:tcPr>
          <w:p w14:paraId="4E2BADB5"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13E0E053" w14:textId="77777777" w:rsidTr="00B73B64">
        <w:trPr>
          <w:trHeight w:val="323"/>
        </w:trPr>
        <w:tc>
          <w:tcPr>
            <w:tcW w:w="3931" w:type="dxa"/>
            <w:tcBorders>
              <w:top w:val="nil"/>
              <w:left w:val="single" w:sz="8" w:space="0" w:color="auto"/>
              <w:bottom w:val="nil"/>
              <w:right w:val="single" w:sz="8" w:space="0" w:color="auto"/>
            </w:tcBorders>
            <w:shd w:val="clear" w:color="auto" w:fill="auto"/>
            <w:vAlign w:val="center"/>
            <w:hideMark/>
          </w:tcPr>
          <w:p w14:paraId="1CEA3D2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Selling price</w:t>
            </w:r>
          </w:p>
        </w:tc>
        <w:tc>
          <w:tcPr>
            <w:tcW w:w="1115" w:type="dxa"/>
            <w:tcBorders>
              <w:top w:val="nil"/>
              <w:left w:val="nil"/>
              <w:bottom w:val="nil"/>
              <w:right w:val="single" w:sz="8" w:space="0" w:color="auto"/>
            </w:tcBorders>
            <w:shd w:val="clear" w:color="auto" w:fill="auto"/>
            <w:vAlign w:val="center"/>
            <w:hideMark/>
          </w:tcPr>
          <w:p w14:paraId="6137E670"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£25</w:t>
            </w:r>
          </w:p>
        </w:tc>
        <w:tc>
          <w:tcPr>
            <w:tcW w:w="5534" w:type="dxa"/>
            <w:tcBorders>
              <w:top w:val="nil"/>
              <w:left w:val="nil"/>
              <w:bottom w:val="nil"/>
              <w:right w:val="single" w:sz="8" w:space="0" w:color="auto"/>
            </w:tcBorders>
            <w:shd w:val="clear" w:color="auto" w:fill="auto"/>
            <w:noWrap/>
            <w:vAlign w:val="bottom"/>
            <w:hideMark/>
          </w:tcPr>
          <w:p w14:paraId="38905385"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73CA1371" w14:textId="77777777" w:rsidTr="00B73B64">
        <w:trPr>
          <w:trHeight w:val="323"/>
        </w:trPr>
        <w:tc>
          <w:tcPr>
            <w:tcW w:w="3931" w:type="dxa"/>
            <w:tcBorders>
              <w:top w:val="nil"/>
              <w:left w:val="single" w:sz="8" w:space="0" w:color="auto"/>
              <w:bottom w:val="nil"/>
              <w:right w:val="single" w:sz="8" w:space="0" w:color="auto"/>
            </w:tcBorders>
            <w:shd w:val="clear" w:color="auto" w:fill="auto"/>
            <w:vAlign w:val="center"/>
            <w:hideMark/>
          </w:tcPr>
          <w:p w14:paraId="350A7CD0"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Buy value</w:t>
            </w:r>
          </w:p>
        </w:tc>
        <w:tc>
          <w:tcPr>
            <w:tcW w:w="1115" w:type="dxa"/>
            <w:tcBorders>
              <w:top w:val="nil"/>
              <w:left w:val="nil"/>
              <w:bottom w:val="nil"/>
              <w:right w:val="single" w:sz="8" w:space="0" w:color="auto"/>
            </w:tcBorders>
            <w:shd w:val="clear" w:color="auto" w:fill="auto"/>
            <w:vAlign w:val="center"/>
            <w:hideMark/>
          </w:tcPr>
          <w:p w14:paraId="6E62F4ED"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£1,250</w:t>
            </w:r>
          </w:p>
        </w:tc>
        <w:tc>
          <w:tcPr>
            <w:tcW w:w="5534" w:type="dxa"/>
            <w:tcBorders>
              <w:top w:val="nil"/>
              <w:left w:val="nil"/>
              <w:bottom w:val="nil"/>
              <w:right w:val="single" w:sz="8" w:space="0" w:color="auto"/>
            </w:tcBorders>
            <w:shd w:val="clear" w:color="auto" w:fill="auto"/>
            <w:noWrap/>
            <w:vAlign w:val="bottom"/>
            <w:hideMark/>
          </w:tcPr>
          <w:p w14:paraId="655B1F3B"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4727B321" w14:textId="77777777" w:rsidTr="00B73B64">
        <w:trPr>
          <w:trHeight w:val="323"/>
        </w:trPr>
        <w:tc>
          <w:tcPr>
            <w:tcW w:w="3931" w:type="dxa"/>
            <w:tcBorders>
              <w:top w:val="nil"/>
              <w:left w:val="single" w:sz="8" w:space="0" w:color="auto"/>
              <w:bottom w:val="single" w:sz="8" w:space="0" w:color="auto"/>
              <w:right w:val="single" w:sz="8" w:space="0" w:color="auto"/>
            </w:tcBorders>
            <w:shd w:val="clear" w:color="auto" w:fill="auto"/>
            <w:vAlign w:val="center"/>
            <w:hideMark/>
          </w:tcPr>
          <w:p w14:paraId="2A58BD4E"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units at full price</w:t>
            </w:r>
          </w:p>
        </w:tc>
        <w:tc>
          <w:tcPr>
            <w:tcW w:w="1115" w:type="dxa"/>
            <w:tcBorders>
              <w:top w:val="nil"/>
              <w:left w:val="nil"/>
              <w:bottom w:val="single" w:sz="8" w:space="0" w:color="auto"/>
              <w:right w:val="single" w:sz="8" w:space="0" w:color="auto"/>
            </w:tcBorders>
            <w:shd w:val="clear" w:color="auto" w:fill="auto"/>
            <w:vAlign w:val="center"/>
            <w:hideMark/>
          </w:tcPr>
          <w:p w14:paraId="2963188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25</w:t>
            </w:r>
          </w:p>
        </w:tc>
        <w:tc>
          <w:tcPr>
            <w:tcW w:w="5534" w:type="dxa"/>
            <w:tcBorders>
              <w:top w:val="nil"/>
              <w:left w:val="nil"/>
              <w:bottom w:val="nil"/>
              <w:right w:val="single" w:sz="8" w:space="0" w:color="auto"/>
            </w:tcBorders>
            <w:shd w:val="clear" w:color="auto" w:fill="auto"/>
            <w:noWrap/>
            <w:vAlign w:val="bottom"/>
            <w:hideMark/>
          </w:tcPr>
          <w:p w14:paraId="59AFC50F"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199D60A8" w14:textId="77777777" w:rsidTr="00444EB3">
        <w:trPr>
          <w:trHeight w:val="323"/>
        </w:trPr>
        <w:tc>
          <w:tcPr>
            <w:tcW w:w="3931" w:type="dxa"/>
            <w:tcBorders>
              <w:top w:val="nil"/>
              <w:left w:val="single" w:sz="8" w:space="0" w:color="auto"/>
              <w:bottom w:val="nil"/>
              <w:right w:val="single" w:sz="8" w:space="0" w:color="auto"/>
            </w:tcBorders>
            <w:shd w:val="clear" w:color="auto" w:fill="auto"/>
            <w:vAlign w:val="center"/>
            <w:hideMark/>
          </w:tcPr>
          <w:p w14:paraId="590FDB4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full price</w:t>
            </w:r>
          </w:p>
        </w:tc>
        <w:tc>
          <w:tcPr>
            <w:tcW w:w="1115" w:type="dxa"/>
            <w:tcBorders>
              <w:top w:val="nil"/>
              <w:left w:val="nil"/>
              <w:bottom w:val="nil"/>
              <w:right w:val="nil"/>
            </w:tcBorders>
            <w:shd w:val="clear" w:color="auto" w:fill="auto"/>
            <w:vAlign w:val="center"/>
          </w:tcPr>
          <w:p w14:paraId="505CB213"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single" w:sz="8" w:space="0" w:color="auto"/>
              <w:left w:val="single" w:sz="8" w:space="0" w:color="auto"/>
              <w:bottom w:val="nil"/>
              <w:right w:val="single" w:sz="8" w:space="0" w:color="auto"/>
            </w:tcBorders>
            <w:shd w:val="clear" w:color="auto" w:fill="auto"/>
            <w:vAlign w:val="center"/>
            <w:hideMark/>
          </w:tcPr>
          <w:p w14:paraId="0F2856FA"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units at full price * Selling price</w:t>
            </w:r>
          </w:p>
        </w:tc>
      </w:tr>
      <w:tr w:rsidR="00B73B64" w:rsidRPr="00EF32A4" w14:paraId="0A37391C" w14:textId="77777777" w:rsidTr="00444EB3">
        <w:trPr>
          <w:trHeight w:val="323"/>
        </w:trPr>
        <w:tc>
          <w:tcPr>
            <w:tcW w:w="3931" w:type="dxa"/>
            <w:tcBorders>
              <w:top w:val="nil"/>
              <w:left w:val="single" w:sz="8" w:space="0" w:color="auto"/>
              <w:bottom w:val="nil"/>
              <w:right w:val="single" w:sz="8" w:space="0" w:color="auto"/>
            </w:tcBorders>
            <w:shd w:val="clear" w:color="auto" w:fill="auto"/>
            <w:vAlign w:val="center"/>
            <w:hideMark/>
          </w:tcPr>
          <w:p w14:paraId="4591CA79"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w:t>
            </w:r>
          </w:p>
        </w:tc>
        <w:tc>
          <w:tcPr>
            <w:tcW w:w="1115" w:type="dxa"/>
            <w:tcBorders>
              <w:top w:val="nil"/>
              <w:left w:val="nil"/>
              <w:bottom w:val="nil"/>
              <w:right w:val="nil"/>
            </w:tcBorders>
            <w:shd w:val="clear" w:color="auto" w:fill="auto"/>
            <w:vAlign w:val="center"/>
          </w:tcPr>
          <w:p w14:paraId="05115BB4"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single" w:sz="8" w:space="0" w:color="auto"/>
              <w:bottom w:val="nil"/>
              <w:right w:val="single" w:sz="8" w:space="0" w:color="auto"/>
            </w:tcBorders>
            <w:shd w:val="clear" w:color="auto" w:fill="auto"/>
            <w:vAlign w:val="center"/>
            <w:hideMark/>
          </w:tcPr>
          <w:p w14:paraId="05F7B068"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Buy value - Sales value at full price</w:t>
            </w:r>
          </w:p>
        </w:tc>
      </w:tr>
      <w:tr w:rsidR="00B73B64" w:rsidRPr="00EF32A4" w14:paraId="1B71ECD8" w14:textId="77777777" w:rsidTr="00444EB3">
        <w:trPr>
          <w:trHeight w:val="323"/>
        </w:trPr>
        <w:tc>
          <w:tcPr>
            <w:tcW w:w="3931" w:type="dxa"/>
            <w:tcBorders>
              <w:top w:val="nil"/>
              <w:left w:val="single" w:sz="8" w:space="0" w:color="auto"/>
              <w:bottom w:val="nil"/>
              <w:right w:val="single" w:sz="8" w:space="0" w:color="auto"/>
            </w:tcBorders>
            <w:shd w:val="clear" w:color="auto" w:fill="auto"/>
            <w:vAlign w:val="center"/>
            <w:hideMark/>
          </w:tcPr>
          <w:p w14:paraId="0396AAE9"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Cost of markdown at 50% off</w:t>
            </w:r>
          </w:p>
        </w:tc>
        <w:tc>
          <w:tcPr>
            <w:tcW w:w="1115" w:type="dxa"/>
            <w:tcBorders>
              <w:top w:val="nil"/>
              <w:left w:val="nil"/>
              <w:bottom w:val="nil"/>
              <w:right w:val="nil"/>
            </w:tcBorders>
            <w:shd w:val="clear" w:color="auto" w:fill="auto"/>
            <w:vAlign w:val="center"/>
          </w:tcPr>
          <w:p w14:paraId="462767EA"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single" w:sz="8" w:space="0" w:color="auto"/>
              <w:bottom w:val="nil"/>
              <w:right w:val="single" w:sz="8" w:space="0" w:color="auto"/>
            </w:tcBorders>
            <w:shd w:val="clear" w:color="auto" w:fill="auto"/>
            <w:vAlign w:val="center"/>
            <w:hideMark/>
          </w:tcPr>
          <w:p w14:paraId="70CA497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 * 50%</w:t>
            </w:r>
          </w:p>
        </w:tc>
      </w:tr>
      <w:tr w:rsidR="00B73B64" w:rsidRPr="00EF32A4" w14:paraId="2B99FB9E" w14:textId="77777777" w:rsidTr="00444EB3">
        <w:trPr>
          <w:trHeight w:val="323"/>
        </w:trPr>
        <w:tc>
          <w:tcPr>
            <w:tcW w:w="3931" w:type="dxa"/>
            <w:tcBorders>
              <w:top w:val="nil"/>
              <w:left w:val="single" w:sz="8" w:space="0" w:color="auto"/>
              <w:bottom w:val="single" w:sz="8" w:space="0" w:color="auto"/>
              <w:right w:val="single" w:sz="8" w:space="0" w:color="auto"/>
            </w:tcBorders>
            <w:shd w:val="clear" w:color="auto" w:fill="auto"/>
            <w:vAlign w:val="center"/>
            <w:hideMark/>
          </w:tcPr>
          <w:p w14:paraId="7C97E95D"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reduced price</w:t>
            </w:r>
          </w:p>
        </w:tc>
        <w:tc>
          <w:tcPr>
            <w:tcW w:w="1115" w:type="dxa"/>
            <w:tcBorders>
              <w:top w:val="nil"/>
              <w:left w:val="nil"/>
              <w:bottom w:val="single" w:sz="8" w:space="0" w:color="auto"/>
              <w:right w:val="nil"/>
            </w:tcBorders>
            <w:shd w:val="clear" w:color="auto" w:fill="auto"/>
            <w:vAlign w:val="center"/>
          </w:tcPr>
          <w:p w14:paraId="6AE09F40"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single" w:sz="8" w:space="0" w:color="auto"/>
              <w:bottom w:val="single" w:sz="8" w:space="0" w:color="auto"/>
              <w:right w:val="single" w:sz="8" w:space="0" w:color="auto"/>
            </w:tcBorders>
            <w:shd w:val="clear" w:color="auto" w:fill="auto"/>
            <w:vAlign w:val="center"/>
            <w:hideMark/>
          </w:tcPr>
          <w:p w14:paraId="464A4DDD"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 - Cost of markdown at 50% off</w:t>
            </w:r>
          </w:p>
        </w:tc>
      </w:tr>
      <w:tr w:rsidR="00B73B64" w:rsidRPr="00EF32A4" w14:paraId="7CFBD17B" w14:textId="77777777" w:rsidTr="00444EB3">
        <w:trPr>
          <w:trHeight w:val="323"/>
        </w:trPr>
        <w:tc>
          <w:tcPr>
            <w:tcW w:w="3931" w:type="dxa"/>
            <w:tcBorders>
              <w:top w:val="nil"/>
              <w:left w:val="single" w:sz="8" w:space="0" w:color="auto"/>
              <w:bottom w:val="nil"/>
              <w:right w:val="single" w:sz="8" w:space="0" w:color="auto"/>
            </w:tcBorders>
            <w:shd w:val="clear" w:color="auto" w:fill="auto"/>
            <w:vAlign w:val="center"/>
            <w:hideMark/>
          </w:tcPr>
          <w:p w14:paraId="4D56983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sales value</w:t>
            </w:r>
          </w:p>
        </w:tc>
        <w:tc>
          <w:tcPr>
            <w:tcW w:w="1115" w:type="dxa"/>
            <w:tcBorders>
              <w:top w:val="nil"/>
              <w:left w:val="nil"/>
              <w:bottom w:val="nil"/>
              <w:right w:val="single" w:sz="8" w:space="0" w:color="auto"/>
            </w:tcBorders>
            <w:shd w:val="clear" w:color="auto" w:fill="auto"/>
            <w:vAlign w:val="center"/>
          </w:tcPr>
          <w:p w14:paraId="0E1967B2"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nil"/>
              <w:bottom w:val="nil"/>
              <w:right w:val="single" w:sz="8" w:space="0" w:color="auto"/>
            </w:tcBorders>
            <w:shd w:val="clear" w:color="auto" w:fill="auto"/>
            <w:vAlign w:val="center"/>
            <w:hideMark/>
          </w:tcPr>
          <w:p w14:paraId="7FABCD9C"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full price + Sales value at reduced price</w:t>
            </w:r>
          </w:p>
        </w:tc>
      </w:tr>
      <w:tr w:rsidR="00B73B64" w:rsidRPr="00EF32A4" w14:paraId="35CECF57" w14:textId="77777777" w:rsidTr="00444EB3">
        <w:trPr>
          <w:trHeight w:val="323"/>
        </w:trPr>
        <w:tc>
          <w:tcPr>
            <w:tcW w:w="3931" w:type="dxa"/>
            <w:tcBorders>
              <w:top w:val="nil"/>
              <w:left w:val="single" w:sz="8" w:space="0" w:color="auto"/>
              <w:bottom w:val="nil"/>
              <w:right w:val="single" w:sz="8" w:space="0" w:color="auto"/>
            </w:tcBorders>
            <w:shd w:val="clear" w:color="auto" w:fill="auto"/>
            <w:vAlign w:val="center"/>
            <w:hideMark/>
          </w:tcPr>
          <w:p w14:paraId="63A0469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markdown value</w:t>
            </w:r>
          </w:p>
        </w:tc>
        <w:tc>
          <w:tcPr>
            <w:tcW w:w="1115" w:type="dxa"/>
            <w:tcBorders>
              <w:top w:val="nil"/>
              <w:left w:val="nil"/>
              <w:bottom w:val="nil"/>
              <w:right w:val="single" w:sz="8" w:space="0" w:color="auto"/>
            </w:tcBorders>
            <w:shd w:val="clear" w:color="auto" w:fill="auto"/>
            <w:vAlign w:val="center"/>
          </w:tcPr>
          <w:p w14:paraId="16C189F1"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nil"/>
              <w:bottom w:val="nil"/>
              <w:right w:val="single" w:sz="8" w:space="0" w:color="auto"/>
            </w:tcBorders>
            <w:shd w:val="clear" w:color="auto" w:fill="auto"/>
            <w:vAlign w:val="center"/>
            <w:hideMark/>
          </w:tcPr>
          <w:p w14:paraId="19D5B007"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Cost of markdown at 50% off</w:t>
            </w:r>
          </w:p>
        </w:tc>
      </w:tr>
      <w:tr w:rsidR="00B73B64" w:rsidRPr="00EF32A4" w14:paraId="04A3AE06" w14:textId="77777777" w:rsidTr="00444EB3">
        <w:trPr>
          <w:trHeight w:val="323"/>
        </w:trPr>
        <w:tc>
          <w:tcPr>
            <w:tcW w:w="3931" w:type="dxa"/>
            <w:tcBorders>
              <w:top w:val="nil"/>
              <w:left w:val="single" w:sz="8" w:space="0" w:color="auto"/>
              <w:bottom w:val="single" w:sz="8" w:space="0" w:color="auto"/>
              <w:right w:val="single" w:sz="8" w:space="0" w:color="auto"/>
            </w:tcBorders>
            <w:shd w:val="clear" w:color="auto" w:fill="auto"/>
            <w:vAlign w:val="center"/>
            <w:hideMark/>
          </w:tcPr>
          <w:p w14:paraId="59F50B6E"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Markdown expressed as % to sales</w:t>
            </w:r>
          </w:p>
        </w:tc>
        <w:tc>
          <w:tcPr>
            <w:tcW w:w="1115" w:type="dxa"/>
            <w:tcBorders>
              <w:top w:val="nil"/>
              <w:left w:val="nil"/>
              <w:bottom w:val="single" w:sz="8" w:space="0" w:color="auto"/>
              <w:right w:val="single" w:sz="8" w:space="0" w:color="auto"/>
            </w:tcBorders>
            <w:shd w:val="clear" w:color="auto" w:fill="auto"/>
            <w:vAlign w:val="center"/>
          </w:tcPr>
          <w:p w14:paraId="28C45819" w14:textId="77777777" w:rsidR="00B73B64" w:rsidRPr="00EF32A4" w:rsidRDefault="00B73B64" w:rsidP="00B73B64">
            <w:pPr>
              <w:spacing w:after="0" w:line="240" w:lineRule="auto"/>
              <w:jc w:val="both"/>
              <w:rPr>
                <w:rFonts w:ascii="Arial" w:eastAsia="Times New Roman" w:hAnsi="Arial" w:cs="Arial"/>
                <w:i/>
                <w:color w:val="FF0000"/>
                <w:lang w:eastAsia="en-GB"/>
              </w:rPr>
            </w:pPr>
          </w:p>
        </w:tc>
        <w:tc>
          <w:tcPr>
            <w:tcW w:w="5534" w:type="dxa"/>
            <w:tcBorders>
              <w:top w:val="nil"/>
              <w:left w:val="nil"/>
              <w:bottom w:val="single" w:sz="8" w:space="0" w:color="auto"/>
              <w:right w:val="single" w:sz="8" w:space="0" w:color="auto"/>
            </w:tcBorders>
            <w:shd w:val="clear" w:color="auto" w:fill="auto"/>
            <w:vAlign w:val="center"/>
            <w:hideMark/>
          </w:tcPr>
          <w:p w14:paraId="0F748875"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markdown value / Total sales value</w:t>
            </w:r>
          </w:p>
        </w:tc>
      </w:tr>
    </w:tbl>
    <w:p w14:paraId="1657D487" w14:textId="77777777" w:rsidR="00B73B64" w:rsidRPr="00EF32A4" w:rsidRDefault="00B73B64" w:rsidP="002E3874">
      <w:pPr>
        <w:rPr>
          <w:rFonts w:ascii="Arial" w:hAnsi="Arial" w:cs="Arial"/>
        </w:rPr>
      </w:pPr>
    </w:p>
    <w:p w14:paraId="4281094C" w14:textId="77777777" w:rsidR="00B73B64" w:rsidRPr="00EF32A4" w:rsidRDefault="00B73B64" w:rsidP="002E3874">
      <w:pPr>
        <w:rPr>
          <w:rFonts w:ascii="Arial" w:hAnsi="Arial" w:cs="Arial"/>
        </w:rPr>
      </w:pPr>
      <w:r w:rsidRPr="00EF32A4">
        <w:rPr>
          <w:rFonts w:ascii="Arial" w:hAnsi="Arial" w:cs="Arial"/>
        </w:rPr>
        <w:t>Exercise 2: The impact of only selling 75% of the range at full price</w:t>
      </w:r>
    </w:p>
    <w:tbl>
      <w:tblPr>
        <w:tblW w:w="10568" w:type="dxa"/>
        <w:tblInd w:w="-861" w:type="dxa"/>
        <w:tblLook w:val="04A0" w:firstRow="1" w:lastRow="0" w:firstColumn="1" w:lastColumn="0" w:noHBand="0" w:noVBand="1"/>
      </w:tblPr>
      <w:tblGrid>
        <w:gridCol w:w="4159"/>
        <w:gridCol w:w="1075"/>
        <w:gridCol w:w="5334"/>
      </w:tblGrid>
      <w:tr w:rsidR="00B73B64" w:rsidRPr="00EF32A4" w14:paraId="37507053" w14:textId="77777777" w:rsidTr="00B73B64">
        <w:trPr>
          <w:trHeight w:val="331"/>
        </w:trPr>
        <w:tc>
          <w:tcPr>
            <w:tcW w:w="4159" w:type="dxa"/>
            <w:tcBorders>
              <w:top w:val="single" w:sz="8" w:space="0" w:color="auto"/>
              <w:left w:val="single" w:sz="8" w:space="0" w:color="auto"/>
              <w:bottom w:val="nil"/>
              <w:right w:val="single" w:sz="8" w:space="0" w:color="auto"/>
            </w:tcBorders>
            <w:shd w:val="clear" w:color="auto" w:fill="auto"/>
            <w:vAlign w:val="center"/>
            <w:hideMark/>
          </w:tcPr>
          <w:p w14:paraId="6B4E82AC"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units bought</w:t>
            </w:r>
          </w:p>
        </w:tc>
        <w:tc>
          <w:tcPr>
            <w:tcW w:w="1075" w:type="dxa"/>
            <w:tcBorders>
              <w:top w:val="single" w:sz="8" w:space="0" w:color="auto"/>
              <w:left w:val="nil"/>
              <w:bottom w:val="nil"/>
              <w:right w:val="single" w:sz="8" w:space="0" w:color="auto"/>
            </w:tcBorders>
            <w:shd w:val="clear" w:color="auto" w:fill="auto"/>
            <w:vAlign w:val="center"/>
            <w:hideMark/>
          </w:tcPr>
          <w:p w14:paraId="3DF7E710"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50</w:t>
            </w:r>
          </w:p>
        </w:tc>
        <w:tc>
          <w:tcPr>
            <w:tcW w:w="5334" w:type="dxa"/>
            <w:tcBorders>
              <w:top w:val="single" w:sz="8" w:space="0" w:color="auto"/>
              <w:left w:val="nil"/>
              <w:bottom w:val="nil"/>
              <w:right w:val="single" w:sz="8" w:space="0" w:color="auto"/>
            </w:tcBorders>
            <w:shd w:val="clear" w:color="auto" w:fill="auto"/>
            <w:noWrap/>
            <w:vAlign w:val="bottom"/>
            <w:hideMark/>
          </w:tcPr>
          <w:p w14:paraId="6A681DE9"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2FB7A784" w14:textId="77777777" w:rsidTr="00B73B64">
        <w:trPr>
          <w:trHeight w:val="331"/>
        </w:trPr>
        <w:tc>
          <w:tcPr>
            <w:tcW w:w="4159" w:type="dxa"/>
            <w:tcBorders>
              <w:top w:val="nil"/>
              <w:left w:val="single" w:sz="8" w:space="0" w:color="auto"/>
              <w:bottom w:val="nil"/>
              <w:right w:val="single" w:sz="8" w:space="0" w:color="auto"/>
            </w:tcBorders>
            <w:shd w:val="clear" w:color="auto" w:fill="auto"/>
            <w:vAlign w:val="center"/>
            <w:hideMark/>
          </w:tcPr>
          <w:p w14:paraId="23F20396"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Selling price</w:t>
            </w:r>
          </w:p>
        </w:tc>
        <w:tc>
          <w:tcPr>
            <w:tcW w:w="1075" w:type="dxa"/>
            <w:tcBorders>
              <w:top w:val="nil"/>
              <w:left w:val="nil"/>
              <w:bottom w:val="nil"/>
              <w:right w:val="single" w:sz="8" w:space="0" w:color="auto"/>
            </w:tcBorders>
            <w:shd w:val="clear" w:color="auto" w:fill="auto"/>
            <w:vAlign w:val="center"/>
            <w:hideMark/>
          </w:tcPr>
          <w:p w14:paraId="16804665"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£25</w:t>
            </w:r>
          </w:p>
        </w:tc>
        <w:tc>
          <w:tcPr>
            <w:tcW w:w="5334" w:type="dxa"/>
            <w:tcBorders>
              <w:top w:val="nil"/>
              <w:left w:val="nil"/>
              <w:bottom w:val="nil"/>
              <w:right w:val="single" w:sz="8" w:space="0" w:color="auto"/>
            </w:tcBorders>
            <w:shd w:val="clear" w:color="auto" w:fill="auto"/>
            <w:noWrap/>
            <w:vAlign w:val="bottom"/>
            <w:hideMark/>
          </w:tcPr>
          <w:p w14:paraId="52194D4F"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2DC5877A" w14:textId="77777777" w:rsidTr="00B73B64">
        <w:trPr>
          <w:trHeight w:val="331"/>
        </w:trPr>
        <w:tc>
          <w:tcPr>
            <w:tcW w:w="4159" w:type="dxa"/>
            <w:tcBorders>
              <w:top w:val="nil"/>
              <w:left w:val="single" w:sz="8" w:space="0" w:color="auto"/>
              <w:bottom w:val="nil"/>
              <w:right w:val="single" w:sz="8" w:space="0" w:color="auto"/>
            </w:tcBorders>
            <w:shd w:val="clear" w:color="auto" w:fill="auto"/>
            <w:vAlign w:val="center"/>
            <w:hideMark/>
          </w:tcPr>
          <w:p w14:paraId="33A2484C"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Buy value</w:t>
            </w:r>
          </w:p>
        </w:tc>
        <w:tc>
          <w:tcPr>
            <w:tcW w:w="1075" w:type="dxa"/>
            <w:tcBorders>
              <w:top w:val="nil"/>
              <w:left w:val="nil"/>
              <w:bottom w:val="nil"/>
              <w:right w:val="single" w:sz="8" w:space="0" w:color="auto"/>
            </w:tcBorders>
            <w:shd w:val="clear" w:color="auto" w:fill="auto"/>
            <w:vAlign w:val="center"/>
            <w:hideMark/>
          </w:tcPr>
          <w:p w14:paraId="73BC612D"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£1,250</w:t>
            </w:r>
          </w:p>
        </w:tc>
        <w:tc>
          <w:tcPr>
            <w:tcW w:w="5334" w:type="dxa"/>
            <w:tcBorders>
              <w:top w:val="nil"/>
              <w:left w:val="nil"/>
              <w:bottom w:val="nil"/>
              <w:right w:val="single" w:sz="8" w:space="0" w:color="auto"/>
            </w:tcBorders>
            <w:shd w:val="clear" w:color="auto" w:fill="auto"/>
            <w:noWrap/>
            <w:vAlign w:val="bottom"/>
            <w:hideMark/>
          </w:tcPr>
          <w:p w14:paraId="1CE8E5D3"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03676F0C" w14:textId="77777777" w:rsidTr="00B73B64">
        <w:trPr>
          <w:trHeight w:val="331"/>
        </w:trPr>
        <w:tc>
          <w:tcPr>
            <w:tcW w:w="4159" w:type="dxa"/>
            <w:tcBorders>
              <w:top w:val="nil"/>
              <w:left w:val="single" w:sz="8" w:space="0" w:color="auto"/>
              <w:bottom w:val="single" w:sz="8" w:space="0" w:color="auto"/>
              <w:right w:val="single" w:sz="8" w:space="0" w:color="auto"/>
            </w:tcBorders>
            <w:shd w:val="clear" w:color="auto" w:fill="auto"/>
            <w:vAlign w:val="center"/>
            <w:hideMark/>
          </w:tcPr>
          <w:p w14:paraId="0DEB132A"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units at full price</w:t>
            </w:r>
          </w:p>
        </w:tc>
        <w:tc>
          <w:tcPr>
            <w:tcW w:w="1075" w:type="dxa"/>
            <w:tcBorders>
              <w:top w:val="nil"/>
              <w:left w:val="nil"/>
              <w:bottom w:val="single" w:sz="8" w:space="0" w:color="auto"/>
              <w:right w:val="single" w:sz="8" w:space="0" w:color="auto"/>
            </w:tcBorders>
            <w:shd w:val="clear" w:color="auto" w:fill="auto"/>
            <w:vAlign w:val="center"/>
            <w:hideMark/>
          </w:tcPr>
          <w:p w14:paraId="0E4ADC72"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38</w:t>
            </w:r>
          </w:p>
        </w:tc>
        <w:tc>
          <w:tcPr>
            <w:tcW w:w="5334" w:type="dxa"/>
            <w:tcBorders>
              <w:top w:val="nil"/>
              <w:left w:val="nil"/>
              <w:bottom w:val="nil"/>
              <w:right w:val="single" w:sz="8" w:space="0" w:color="auto"/>
            </w:tcBorders>
            <w:shd w:val="clear" w:color="auto" w:fill="auto"/>
            <w:noWrap/>
            <w:vAlign w:val="bottom"/>
            <w:hideMark/>
          </w:tcPr>
          <w:p w14:paraId="68F7BF01" w14:textId="77777777" w:rsidR="00B73B64" w:rsidRPr="00EF32A4" w:rsidRDefault="00B73B64" w:rsidP="00B73B64">
            <w:pPr>
              <w:spacing w:after="0" w:line="240" w:lineRule="auto"/>
              <w:rPr>
                <w:rFonts w:ascii="Arial" w:eastAsia="Times New Roman" w:hAnsi="Arial" w:cs="Arial"/>
                <w:color w:val="000000"/>
                <w:lang w:eastAsia="en-GB"/>
              </w:rPr>
            </w:pPr>
            <w:r w:rsidRPr="00EF32A4">
              <w:rPr>
                <w:rFonts w:ascii="Arial" w:eastAsia="Times New Roman" w:hAnsi="Arial" w:cs="Arial"/>
                <w:color w:val="000000"/>
                <w:lang w:eastAsia="en-GB"/>
              </w:rPr>
              <w:t> </w:t>
            </w:r>
          </w:p>
        </w:tc>
      </w:tr>
      <w:tr w:rsidR="00B73B64" w:rsidRPr="00EF32A4" w14:paraId="786B2499" w14:textId="77777777" w:rsidTr="00444EB3">
        <w:trPr>
          <w:trHeight w:val="331"/>
        </w:trPr>
        <w:tc>
          <w:tcPr>
            <w:tcW w:w="4159" w:type="dxa"/>
            <w:tcBorders>
              <w:top w:val="nil"/>
              <w:left w:val="single" w:sz="8" w:space="0" w:color="auto"/>
              <w:bottom w:val="nil"/>
              <w:right w:val="single" w:sz="8" w:space="0" w:color="auto"/>
            </w:tcBorders>
            <w:shd w:val="clear" w:color="auto" w:fill="auto"/>
            <w:vAlign w:val="center"/>
            <w:hideMark/>
          </w:tcPr>
          <w:p w14:paraId="321BBF2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full price</w:t>
            </w:r>
          </w:p>
        </w:tc>
        <w:tc>
          <w:tcPr>
            <w:tcW w:w="1075" w:type="dxa"/>
            <w:tcBorders>
              <w:top w:val="nil"/>
              <w:left w:val="nil"/>
              <w:bottom w:val="nil"/>
              <w:right w:val="nil"/>
            </w:tcBorders>
            <w:shd w:val="clear" w:color="auto" w:fill="auto"/>
            <w:vAlign w:val="center"/>
          </w:tcPr>
          <w:p w14:paraId="6D802F6D" w14:textId="344B4FED"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single" w:sz="8" w:space="0" w:color="auto"/>
              <w:left w:val="single" w:sz="8" w:space="0" w:color="auto"/>
              <w:bottom w:val="nil"/>
              <w:right w:val="single" w:sz="8" w:space="0" w:color="auto"/>
            </w:tcBorders>
            <w:shd w:val="clear" w:color="auto" w:fill="auto"/>
            <w:vAlign w:val="center"/>
            <w:hideMark/>
          </w:tcPr>
          <w:p w14:paraId="69A84BA7"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units at full price * Selling price</w:t>
            </w:r>
          </w:p>
        </w:tc>
      </w:tr>
      <w:tr w:rsidR="00B73B64" w:rsidRPr="00EF32A4" w14:paraId="09FC5EB5" w14:textId="77777777" w:rsidTr="00444EB3">
        <w:trPr>
          <w:trHeight w:val="331"/>
        </w:trPr>
        <w:tc>
          <w:tcPr>
            <w:tcW w:w="4159" w:type="dxa"/>
            <w:tcBorders>
              <w:top w:val="nil"/>
              <w:left w:val="single" w:sz="8" w:space="0" w:color="auto"/>
              <w:bottom w:val="nil"/>
              <w:right w:val="single" w:sz="8" w:space="0" w:color="auto"/>
            </w:tcBorders>
            <w:shd w:val="clear" w:color="auto" w:fill="auto"/>
            <w:vAlign w:val="center"/>
            <w:hideMark/>
          </w:tcPr>
          <w:p w14:paraId="4168071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w:t>
            </w:r>
          </w:p>
        </w:tc>
        <w:tc>
          <w:tcPr>
            <w:tcW w:w="1075" w:type="dxa"/>
            <w:tcBorders>
              <w:top w:val="nil"/>
              <w:left w:val="nil"/>
              <w:bottom w:val="nil"/>
              <w:right w:val="nil"/>
            </w:tcBorders>
            <w:shd w:val="clear" w:color="auto" w:fill="auto"/>
            <w:vAlign w:val="center"/>
          </w:tcPr>
          <w:p w14:paraId="4EE564A9" w14:textId="48460A31"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single" w:sz="8" w:space="0" w:color="auto"/>
              <w:bottom w:val="nil"/>
              <w:right w:val="single" w:sz="8" w:space="0" w:color="auto"/>
            </w:tcBorders>
            <w:shd w:val="clear" w:color="auto" w:fill="auto"/>
            <w:vAlign w:val="center"/>
            <w:hideMark/>
          </w:tcPr>
          <w:p w14:paraId="515376A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Buy value - Sales value at full price</w:t>
            </w:r>
          </w:p>
        </w:tc>
      </w:tr>
      <w:tr w:rsidR="00B73B64" w:rsidRPr="00EF32A4" w14:paraId="2D07CFBF" w14:textId="77777777" w:rsidTr="00444EB3">
        <w:trPr>
          <w:trHeight w:val="331"/>
        </w:trPr>
        <w:tc>
          <w:tcPr>
            <w:tcW w:w="4159" w:type="dxa"/>
            <w:tcBorders>
              <w:top w:val="nil"/>
              <w:left w:val="single" w:sz="8" w:space="0" w:color="auto"/>
              <w:bottom w:val="nil"/>
              <w:right w:val="single" w:sz="8" w:space="0" w:color="auto"/>
            </w:tcBorders>
            <w:shd w:val="clear" w:color="auto" w:fill="auto"/>
            <w:vAlign w:val="center"/>
            <w:hideMark/>
          </w:tcPr>
          <w:p w14:paraId="31C9FE67"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Cost of markdown at 50% off</w:t>
            </w:r>
          </w:p>
        </w:tc>
        <w:tc>
          <w:tcPr>
            <w:tcW w:w="1075" w:type="dxa"/>
            <w:tcBorders>
              <w:top w:val="nil"/>
              <w:left w:val="nil"/>
              <w:bottom w:val="nil"/>
              <w:right w:val="nil"/>
            </w:tcBorders>
            <w:shd w:val="clear" w:color="auto" w:fill="auto"/>
            <w:vAlign w:val="center"/>
          </w:tcPr>
          <w:p w14:paraId="2D31752F" w14:textId="4201E480"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single" w:sz="8" w:space="0" w:color="auto"/>
              <w:bottom w:val="nil"/>
              <w:right w:val="single" w:sz="8" w:space="0" w:color="auto"/>
            </w:tcBorders>
            <w:shd w:val="clear" w:color="auto" w:fill="auto"/>
            <w:vAlign w:val="center"/>
            <w:hideMark/>
          </w:tcPr>
          <w:p w14:paraId="5D6955A7"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 * 50%</w:t>
            </w:r>
          </w:p>
        </w:tc>
      </w:tr>
      <w:tr w:rsidR="00B73B64" w:rsidRPr="00EF32A4" w14:paraId="0F246FF1" w14:textId="77777777" w:rsidTr="00444EB3">
        <w:trPr>
          <w:trHeight w:val="331"/>
        </w:trPr>
        <w:tc>
          <w:tcPr>
            <w:tcW w:w="4159" w:type="dxa"/>
            <w:tcBorders>
              <w:top w:val="nil"/>
              <w:left w:val="single" w:sz="8" w:space="0" w:color="auto"/>
              <w:bottom w:val="single" w:sz="8" w:space="0" w:color="auto"/>
              <w:right w:val="single" w:sz="8" w:space="0" w:color="auto"/>
            </w:tcBorders>
            <w:shd w:val="clear" w:color="auto" w:fill="auto"/>
            <w:vAlign w:val="center"/>
            <w:hideMark/>
          </w:tcPr>
          <w:p w14:paraId="1FB99154"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reduced price</w:t>
            </w:r>
          </w:p>
        </w:tc>
        <w:tc>
          <w:tcPr>
            <w:tcW w:w="1075" w:type="dxa"/>
            <w:tcBorders>
              <w:top w:val="nil"/>
              <w:left w:val="nil"/>
              <w:bottom w:val="single" w:sz="8" w:space="0" w:color="auto"/>
              <w:right w:val="nil"/>
            </w:tcBorders>
            <w:shd w:val="clear" w:color="auto" w:fill="auto"/>
            <w:vAlign w:val="center"/>
          </w:tcPr>
          <w:p w14:paraId="2D090D2C" w14:textId="5DA7CF26"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single" w:sz="8" w:space="0" w:color="auto"/>
              <w:bottom w:val="single" w:sz="8" w:space="0" w:color="auto"/>
              <w:right w:val="single" w:sz="8" w:space="0" w:color="auto"/>
            </w:tcBorders>
            <w:shd w:val="clear" w:color="auto" w:fill="auto"/>
            <w:vAlign w:val="center"/>
            <w:hideMark/>
          </w:tcPr>
          <w:p w14:paraId="4F4B19AA"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Stock value to markdown - Cost of markdown at 50% off</w:t>
            </w:r>
          </w:p>
        </w:tc>
      </w:tr>
      <w:tr w:rsidR="00B73B64" w:rsidRPr="00EF32A4" w14:paraId="6455B4C5" w14:textId="77777777" w:rsidTr="00444EB3">
        <w:trPr>
          <w:trHeight w:val="331"/>
        </w:trPr>
        <w:tc>
          <w:tcPr>
            <w:tcW w:w="4159" w:type="dxa"/>
            <w:tcBorders>
              <w:top w:val="nil"/>
              <w:left w:val="single" w:sz="8" w:space="0" w:color="auto"/>
              <w:bottom w:val="nil"/>
              <w:right w:val="single" w:sz="8" w:space="0" w:color="auto"/>
            </w:tcBorders>
            <w:shd w:val="clear" w:color="auto" w:fill="auto"/>
            <w:vAlign w:val="center"/>
            <w:hideMark/>
          </w:tcPr>
          <w:p w14:paraId="03E73A95"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sales value</w:t>
            </w:r>
          </w:p>
        </w:tc>
        <w:tc>
          <w:tcPr>
            <w:tcW w:w="1075" w:type="dxa"/>
            <w:tcBorders>
              <w:top w:val="nil"/>
              <w:left w:val="nil"/>
              <w:bottom w:val="nil"/>
              <w:right w:val="single" w:sz="8" w:space="0" w:color="auto"/>
            </w:tcBorders>
            <w:shd w:val="clear" w:color="auto" w:fill="auto"/>
            <w:vAlign w:val="center"/>
          </w:tcPr>
          <w:p w14:paraId="58BF2B49" w14:textId="09C2DE0B"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nil"/>
              <w:bottom w:val="nil"/>
              <w:right w:val="single" w:sz="8" w:space="0" w:color="auto"/>
            </w:tcBorders>
            <w:shd w:val="clear" w:color="auto" w:fill="auto"/>
            <w:vAlign w:val="center"/>
            <w:hideMark/>
          </w:tcPr>
          <w:p w14:paraId="38EC8276"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Sales value at full price + Sales value at reduced price</w:t>
            </w:r>
          </w:p>
        </w:tc>
      </w:tr>
      <w:tr w:rsidR="00B73B64" w:rsidRPr="00EF32A4" w14:paraId="63F29CD5" w14:textId="77777777" w:rsidTr="00444EB3">
        <w:trPr>
          <w:trHeight w:val="331"/>
        </w:trPr>
        <w:tc>
          <w:tcPr>
            <w:tcW w:w="4159" w:type="dxa"/>
            <w:tcBorders>
              <w:top w:val="nil"/>
              <w:left w:val="single" w:sz="8" w:space="0" w:color="auto"/>
              <w:bottom w:val="nil"/>
              <w:right w:val="single" w:sz="8" w:space="0" w:color="auto"/>
            </w:tcBorders>
            <w:shd w:val="clear" w:color="auto" w:fill="auto"/>
            <w:vAlign w:val="center"/>
            <w:hideMark/>
          </w:tcPr>
          <w:p w14:paraId="4704C37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markdown value</w:t>
            </w:r>
          </w:p>
        </w:tc>
        <w:tc>
          <w:tcPr>
            <w:tcW w:w="1075" w:type="dxa"/>
            <w:tcBorders>
              <w:top w:val="nil"/>
              <w:left w:val="nil"/>
              <w:bottom w:val="nil"/>
              <w:right w:val="single" w:sz="8" w:space="0" w:color="auto"/>
            </w:tcBorders>
            <w:shd w:val="clear" w:color="auto" w:fill="auto"/>
            <w:vAlign w:val="center"/>
          </w:tcPr>
          <w:p w14:paraId="1CCC1E54" w14:textId="13CCFB6E"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nil"/>
              <w:bottom w:val="nil"/>
              <w:right w:val="single" w:sz="8" w:space="0" w:color="auto"/>
            </w:tcBorders>
            <w:shd w:val="clear" w:color="auto" w:fill="auto"/>
            <w:vAlign w:val="center"/>
            <w:hideMark/>
          </w:tcPr>
          <w:p w14:paraId="5DB42B6B"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Cost of markdown at 50% off</w:t>
            </w:r>
          </w:p>
        </w:tc>
      </w:tr>
      <w:tr w:rsidR="00B73B64" w:rsidRPr="00EF32A4" w14:paraId="4CB3D9BB" w14:textId="77777777" w:rsidTr="00444EB3">
        <w:trPr>
          <w:trHeight w:val="331"/>
        </w:trPr>
        <w:tc>
          <w:tcPr>
            <w:tcW w:w="4159" w:type="dxa"/>
            <w:tcBorders>
              <w:top w:val="nil"/>
              <w:left w:val="single" w:sz="8" w:space="0" w:color="auto"/>
              <w:bottom w:val="single" w:sz="8" w:space="0" w:color="auto"/>
              <w:right w:val="single" w:sz="8" w:space="0" w:color="auto"/>
            </w:tcBorders>
            <w:shd w:val="clear" w:color="auto" w:fill="auto"/>
            <w:vAlign w:val="center"/>
            <w:hideMark/>
          </w:tcPr>
          <w:p w14:paraId="6D7785F8"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Markdown expressed as % to sales</w:t>
            </w:r>
          </w:p>
        </w:tc>
        <w:tc>
          <w:tcPr>
            <w:tcW w:w="1075" w:type="dxa"/>
            <w:tcBorders>
              <w:top w:val="nil"/>
              <w:left w:val="nil"/>
              <w:bottom w:val="single" w:sz="8" w:space="0" w:color="auto"/>
              <w:right w:val="single" w:sz="8" w:space="0" w:color="auto"/>
            </w:tcBorders>
            <w:shd w:val="clear" w:color="auto" w:fill="auto"/>
            <w:vAlign w:val="center"/>
          </w:tcPr>
          <w:p w14:paraId="1D5B7F32" w14:textId="39D65D9D" w:rsidR="00B73B64" w:rsidRPr="00EF32A4" w:rsidRDefault="00B73B64" w:rsidP="00B73B64">
            <w:pPr>
              <w:spacing w:after="0" w:line="240" w:lineRule="auto"/>
              <w:jc w:val="both"/>
              <w:rPr>
                <w:rFonts w:ascii="Arial" w:eastAsia="Times New Roman" w:hAnsi="Arial" w:cs="Arial"/>
                <w:i/>
                <w:color w:val="FF0000"/>
                <w:lang w:eastAsia="en-GB"/>
              </w:rPr>
            </w:pPr>
          </w:p>
        </w:tc>
        <w:tc>
          <w:tcPr>
            <w:tcW w:w="5334" w:type="dxa"/>
            <w:tcBorders>
              <w:top w:val="nil"/>
              <w:left w:val="nil"/>
              <w:bottom w:val="single" w:sz="8" w:space="0" w:color="auto"/>
              <w:right w:val="single" w:sz="8" w:space="0" w:color="auto"/>
            </w:tcBorders>
            <w:shd w:val="clear" w:color="auto" w:fill="auto"/>
            <w:vAlign w:val="center"/>
            <w:hideMark/>
          </w:tcPr>
          <w:p w14:paraId="5A2B5DA1" w14:textId="77777777" w:rsidR="00B73B64" w:rsidRPr="00EF32A4" w:rsidRDefault="00B73B64" w:rsidP="00B73B64">
            <w:pPr>
              <w:spacing w:after="0" w:line="240" w:lineRule="auto"/>
              <w:jc w:val="both"/>
              <w:rPr>
                <w:rFonts w:ascii="Arial" w:eastAsia="Times New Roman" w:hAnsi="Arial" w:cs="Arial"/>
                <w:color w:val="000000"/>
                <w:lang w:eastAsia="en-GB"/>
              </w:rPr>
            </w:pPr>
            <w:r w:rsidRPr="00EF32A4">
              <w:rPr>
                <w:rFonts w:ascii="Arial" w:eastAsia="Times New Roman" w:hAnsi="Arial" w:cs="Arial"/>
                <w:color w:val="000000"/>
                <w:lang w:eastAsia="en-GB"/>
              </w:rPr>
              <w:t>Total markdown value / Total sales value</w:t>
            </w:r>
          </w:p>
        </w:tc>
      </w:tr>
    </w:tbl>
    <w:p w14:paraId="2AB4B885" w14:textId="77777777" w:rsidR="002E3874" w:rsidRPr="00EF32A4" w:rsidRDefault="002E3874">
      <w:pPr>
        <w:rPr>
          <w:rFonts w:ascii="Arial" w:hAnsi="Arial" w:cs="Arial"/>
        </w:rPr>
      </w:pPr>
    </w:p>
    <w:p w14:paraId="45091DAE" w14:textId="77777777" w:rsidR="00B73B64" w:rsidRPr="00EF32A4" w:rsidRDefault="00B73B64">
      <w:pPr>
        <w:rPr>
          <w:rFonts w:ascii="Arial" w:hAnsi="Arial" w:cs="Arial"/>
        </w:rPr>
      </w:pPr>
      <w:r w:rsidRPr="00EF32A4">
        <w:rPr>
          <w:rFonts w:ascii="Arial" w:hAnsi="Arial" w:cs="Arial"/>
        </w:rPr>
        <w:lastRenderedPageBreak/>
        <w:t>Exercise 3 – The components of gross profit</w:t>
      </w:r>
    </w:p>
    <w:p w14:paraId="09C47EAC" w14:textId="77777777" w:rsidR="00B73B64" w:rsidRPr="00EF32A4" w:rsidRDefault="00B73B64">
      <w:pPr>
        <w:rPr>
          <w:rFonts w:ascii="Arial" w:hAnsi="Arial" w:cs="Arial"/>
        </w:rPr>
      </w:pPr>
      <w:r w:rsidRPr="00EF32A4">
        <w:rPr>
          <w:rFonts w:ascii="Arial" w:hAnsi="Arial" w:cs="Arial"/>
        </w:rPr>
        <w:t>All the KPI budgets contribute to the P&amp;L and balance sheet. In this exercise the quantitative impact of KPI budgets is reviewed.</w:t>
      </w:r>
    </w:p>
    <w:p w14:paraId="523C3385" w14:textId="77777777" w:rsidR="0038674D" w:rsidRPr="00EF32A4" w:rsidRDefault="0038674D" w:rsidP="0038674D">
      <w:r w:rsidRPr="00EF32A4">
        <w:t>For the KPI budget table below calculate the gross trading profit for the “This Year Budget” and the “Last Year Actual” columns. Then calculate the % variance between the two.</w:t>
      </w:r>
    </w:p>
    <w:p w14:paraId="6A916781" w14:textId="77777777" w:rsidR="0038674D" w:rsidRPr="00EF32A4" w:rsidRDefault="0038674D" w:rsidP="0038674D">
      <w:pPr>
        <w:pStyle w:val="ListParagraph"/>
        <w:numPr>
          <w:ilvl w:val="0"/>
          <w:numId w:val="1"/>
        </w:numPr>
      </w:pPr>
      <w:r w:rsidRPr="00EF32A4">
        <w:t>Use the following calculation to work out the gross trading profits</w:t>
      </w:r>
    </w:p>
    <w:p w14:paraId="673CB92C" w14:textId="77777777" w:rsidR="0038674D" w:rsidRPr="00EF32A4" w:rsidRDefault="0038674D" w:rsidP="0038674D">
      <w:pPr>
        <w:pStyle w:val="ListParagraph"/>
        <w:numPr>
          <w:ilvl w:val="1"/>
          <w:numId w:val="1"/>
        </w:numPr>
      </w:pPr>
      <w:r w:rsidRPr="00EF32A4">
        <w:t>((Sales turnover/1.2)*Intake margin) – ((Markdown spend/1.2)*Intake margin))</w:t>
      </w:r>
    </w:p>
    <w:tbl>
      <w:tblPr>
        <w:tblW w:w="11249" w:type="dxa"/>
        <w:tblInd w:w="-1119" w:type="dxa"/>
        <w:tblLayout w:type="fixed"/>
        <w:tblCellMar>
          <w:left w:w="0" w:type="dxa"/>
          <w:right w:w="0" w:type="dxa"/>
        </w:tblCellMar>
        <w:tblLook w:val="0600" w:firstRow="0" w:lastRow="0" w:firstColumn="0" w:lastColumn="0" w:noHBand="1" w:noVBand="1"/>
      </w:tblPr>
      <w:tblGrid>
        <w:gridCol w:w="2689"/>
        <w:gridCol w:w="1129"/>
        <w:gridCol w:w="1129"/>
        <w:gridCol w:w="1270"/>
        <w:gridCol w:w="5032"/>
      </w:tblGrid>
      <w:tr w:rsidR="0038674D" w:rsidRPr="00EF32A4" w14:paraId="362F8BB2" w14:textId="77777777" w:rsidTr="0038674D">
        <w:trPr>
          <w:trHeight w:val="394"/>
        </w:trPr>
        <w:tc>
          <w:tcPr>
            <w:tcW w:w="2689" w:type="dxa"/>
            <w:tcBorders>
              <w:top w:val="single" w:sz="4" w:space="0" w:color="auto"/>
              <w:left w:val="single" w:sz="4" w:space="0" w:color="auto"/>
              <w:bottom w:val="single" w:sz="4" w:space="0" w:color="auto"/>
              <w:right w:val="single" w:sz="8" w:space="0" w:color="000000"/>
            </w:tcBorders>
            <w:shd w:val="clear" w:color="auto" w:fill="auto"/>
            <w:tcMar>
              <w:top w:w="15" w:type="dxa"/>
              <w:left w:w="108" w:type="dxa"/>
              <w:bottom w:w="0" w:type="dxa"/>
              <w:right w:w="108" w:type="dxa"/>
            </w:tcMar>
            <w:hideMark/>
          </w:tcPr>
          <w:p w14:paraId="1F98A9BF"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 KPI Budget</w:t>
            </w:r>
          </w:p>
        </w:tc>
        <w:tc>
          <w:tcPr>
            <w:tcW w:w="1129" w:type="dxa"/>
            <w:tcBorders>
              <w:top w:val="single" w:sz="4" w:space="0" w:color="auto"/>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3EB4D948"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 xml:space="preserve">This Year Budget </w:t>
            </w:r>
          </w:p>
        </w:tc>
        <w:tc>
          <w:tcPr>
            <w:tcW w:w="1129" w:type="dxa"/>
            <w:tcBorders>
              <w:top w:val="single" w:sz="4" w:space="0" w:color="auto"/>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3B007147"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 xml:space="preserve">Last year Actual </w:t>
            </w:r>
          </w:p>
        </w:tc>
        <w:tc>
          <w:tcPr>
            <w:tcW w:w="1270" w:type="dxa"/>
            <w:tcBorders>
              <w:top w:val="single" w:sz="4" w:space="0" w:color="auto"/>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1B068DA2"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 Variance</w:t>
            </w:r>
          </w:p>
        </w:tc>
        <w:tc>
          <w:tcPr>
            <w:tcW w:w="5032" w:type="dxa"/>
            <w:tcBorders>
              <w:top w:val="single" w:sz="4" w:space="0" w:color="auto"/>
              <w:left w:val="single" w:sz="8" w:space="0" w:color="000000"/>
              <w:bottom w:val="single" w:sz="4" w:space="0" w:color="auto"/>
              <w:right w:val="single" w:sz="4" w:space="0" w:color="auto"/>
            </w:tcBorders>
          </w:tcPr>
          <w:p w14:paraId="65743559"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Definition</w:t>
            </w:r>
          </w:p>
        </w:tc>
      </w:tr>
      <w:tr w:rsidR="0038674D" w:rsidRPr="00EF32A4" w14:paraId="10F68C39" w14:textId="77777777" w:rsidTr="0038674D">
        <w:trPr>
          <w:trHeight w:val="359"/>
        </w:trPr>
        <w:tc>
          <w:tcPr>
            <w:tcW w:w="2689" w:type="dxa"/>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0F08E0"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Sales turnover budget £</w:t>
            </w:r>
          </w:p>
        </w:tc>
        <w:tc>
          <w:tcPr>
            <w:tcW w:w="1129" w:type="dxa"/>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D451B7"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108,500</w:t>
            </w:r>
          </w:p>
        </w:tc>
        <w:tc>
          <w:tcPr>
            <w:tcW w:w="1129" w:type="dxa"/>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4FB93D"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90,000</w:t>
            </w:r>
          </w:p>
        </w:tc>
        <w:tc>
          <w:tcPr>
            <w:tcW w:w="1270" w:type="dxa"/>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82383E" w14:textId="77777777" w:rsidR="0038674D" w:rsidRPr="00EF32A4" w:rsidRDefault="0038674D" w:rsidP="00613973">
            <w:pPr>
              <w:spacing w:after="0"/>
              <w:jc w:val="both"/>
              <w:rPr>
                <w:rFonts w:ascii="Arial" w:eastAsia="Times New Roman" w:hAnsi="Arial" w:cs="Arial"/>
              </w:rPr>
            </w:pPr>
            <w:r w:rsidRPr="00EF32A4">
              <w:rPr>
                <w:rFonts w:ascii="Arial" w:eastAsia="Times New Roman" w:hAnsi="Arial" w:cs="Arial"/>
                <w:bCs/>
                <w:color w:val="000000"/>
                <w:kern w:val="24"/>
              </w:rPr>
              <w:t>2</w:t>
            </w:r>
            <w:r w:rsidR="00613973" w:rsidRPr="00EF32A4">
              <w:rPr>
                <w:rFonts w:ascii="Arial" w:eastAsia="Times New Roman" w:hAnsi="Arial" w:cs="Arial"/>
                <w:bCs/>
                <w:color w:val="000000"/>
                <w:kern w:val="24"/>
              </w:rPr>
              <w:t>1</w:t>
            </w:r>
            <w:r w:rsidRPr="00EF32A4">
              <w:rPr>
                <w:rFonts w:ascii="Arial" w:eastAsia="Times New Roman" w:hAnsi="Arial" w:cs="Arial"/>
                <w:bCs/>
                <w:color w:val="000000"/>
                <w:kern w:val="24"/>
              </w:rPr>
              <w:t>%</w:t>
            </w:r>
          </w:p>
        </w:tc>
        <w:tc>
          <w:tcPr>
            <w:tcW w:w="5032" w:type="dxa"/>
            <w:tcBorders>
              <w:top w:val="single" w:sz="4" w:space="0" w:color="auto"/>
              <w:left w:val="single" w:sz="8" w:space="0" w:color="000000"/>
              <w:bottom w:val="single" w:sz="8" w:space="0" w:color="000000"/>
              <w:right w:val="single" w:sz="8" w:space="0" w:color="000000"/>
            </w:tcBorders>
          </w:tcPr>
          <w:p w14:paraId="13B48F9F"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cash sales value (£) that the range will generate</w:t>
            </w:r>
          </w:p>
        </w:tc>
      </w:tr>
      <w:tr w:rsidR="0038674D" w:rsidRPr="00EF32A4" w14:paraId="185E8D38" w14:textId="77777777" w:rsidTr="0038674D">
        <w:trPr>
          <w:trHeight w:val="381"/>
        </w:trPr>
        <w:tc>
          <w:tcPr>
            <w:tcW w:w="268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6E28CB"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Markdown spend budget £</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1FD587"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20,615</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4F7774"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22,250</w:t>
            </w:r>
          </w:p>
        </w:tc>
        <w:tc>
          <w:tcPr>
            <w:tcW w:w="12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A68E0E" w14:textId="77777777" w:rsidR="0038674D" w:rsidRPr="00EF32A4" w:rsidRDefault="0038674D" w:rsidP="00613973">
            <w:pPr>
              <w:spacing w:after="0"/>
              <w:jc w:val="both"/>
              <w:rPr>
                <w:rFonts w:ascii="Arial" w:eastAsia="Times New Roman" w:hAnsi="Arial" w:cs="Arial"/>
              </w:rPr>
            </w:pPr>
            <w:r w:rsidRPr="00EF32A4">
              <w:rPr>
                <w:rFonts w:ascii="Arial" w:eastAsia="Times New Roman" w:hAnsi="Arial" w:cs="Arial"/>
                <w:bCs/>
                <w:color w:val="000000"/>
                <w:kern w:val="24"/>
              </w:rPr>
              <w:t>-7%</w:t>
            </w:r>
          </w:p>
        </w:tc>
        <w:tc>
          <w:tcPr>
            <w:tcW w:w="5032" w:type="dxa"/>
            <w:tcBorders>
              <w:top w:val="single" w:sz="8" w:space="0" w:color="000000"/>
              <w:left w:val="single" w:sz="8" w:space="0" w:color="000000"/>
              <w:bottom w:val="single" w:sz="8" w:space="0" w:color="000000"/>
              <w:right w:val="single" w:sz="8" w:space="0" w:color="000000"/>
            </w:tcBorders>
          </w:tcPr>
          <w:p w14:paraId="05A4A51A"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cash cost value (£) of discounting in sale periods</w:t>
            </w:r>
          </w:p>
        </w:tc>
      </w:tr>
      <w:tr w:rsidR="0038674D" w:rsidRPr="00EF32A4" w14:paraId="3F97974B" w14:textId="77777777" w:rsidTr="0038674D">
        <w:trPr>
          <w:trHeight w:val="358"/>
        </w:trPr>
        <w:tc>
          <w:tcPr>
            <w:tcW w:w="268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E5C6EB6"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Intake margin % budget</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10465C"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62%</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681634"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62%</w:t>
            </w:r>
          </w:p>
        </w:tc>
        <w:tc>
          <w:tcPr>
            <w:tcW w:w="12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28C07B"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0.0%</w:t>
            </w:r>
          </w:p>
        </w:tc>
        <w:tc>
          <w:tcPr>
            <w:tcW w:w="5032" w:type="dxa"/>
            <w:tcBorders>
              <w:top w:val="single" w:sz="8" w:space="0" w:color="000000"/>
              <w:left w:val="single" w:sz="8" w:space="0" w:color="000000"/>
              <w:bottom w:val="single" w:sz="8" w:space="0" w:color="000000"/>
              <w:right w:val="single" w:sz="8" w:space="0" w:color="000000"/>
            </w:tcBorders>
          </w:tcPr>
          <w:p w14:paraId="646CDE43"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 margin difference between cost and selling prices</w:t>
            </w:r>
          </w:p>
        </w:tc>
      </w:tr>
      <w:tr w:rsidR="0038674D" w:rsidRPr="00EF32A4" w14:paraId="16FA41C5" w14:textId="77777777" w:rsidTr="00444EB3">
        <w:trPr>
          <w:trHeight w:val="378"/>
        </w:trPr>
        <w:tc>
          <w:tcPr>
            <w:tcW w:w="268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93E1C0"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Gross trading profit £</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54863DC" w14:textId="632D21B5" w:rsidR="0038674D" w:rsidRPr="00EF32A4" w:rsidRDefault="0038674D" w:rsidP="000319AD">
            <w:pPr>
              <w:spacing w:after="0"/>
              <w:jc w:val="both"/>
              <w:rPr>
                <w:rFonts w:ascii="Arial" w:eastAsia="Times New Roman" w:hAnsi="Arial" w:cs="Arial"/>
                <w:i/>
                <w:color w:val="FF0000"/>
              </w:rPr>
            </w:pP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52BB1FC" w14:textId="6B66D603" w:rsidR="0038674D" w:rsidRPr="00EF32A4" w:rsidRDefault="0038674D" w:rsidP="000319AD">
            <w:pPr>
              <w:spacing w:after="0"/>
              <w:jc w:val="both"/>
              <w:rPr>
                <w:rFonts w:ascii="Arial" w:eastAsia="Times New Roman" w:hAnsi="Arial" w:cs="Arial"/>
                <w:i/>
                <w:color w:val="FF0000"/>
              </w:rPr>
            </w:pPr>
          </w:p>
        </w:tc>
        <w:tc>
          <w:tcPr>
            <w:tcW w:w="12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57D9D4" w14:textId="6FD221C8" w:rsidR="0038674D" w:rsidRPr="00EF32A4" w:rsidRDefault="0038674D" w:rsidP="000319AD">
            <w:pPr>
              <w:spacing w:after="0"/>
              <w:jc w:val="both"/>
              <w:rPr>
                <w:rFonts w:ascii="Arial" w:eastAsia="Times New Roman" w:hAnsi="Arial" w:cs="Arial"/>
                <w:i/>
                <w:color w:val="FF0000"/>
              </w:rPr>
            </w:pPr>
          </w:p>
        </w:tc>
        <w:tc>
          <w:tcPr>
            <w:tcW w:w="5032" w:type="dxa"/>
            <w:tcBorders>
              <w:top w:val="single" w:sz="8" w:space="0" w:color="000000"/>
              <w:left w:val="single" w:sz="8" w:space="0" w:color="000000"/>
              <w:bottom w:val="single" w:sz="8" w:space="0" w:color="000000"/>
              <w:right w:val="single" w:sz="8" w:space="0" w:color="000000"/>
            </w:tcBorders>
            <w:shd w:val="clear" w:color="auto" w:fill="auto"/>
          </w:tcPr>
          <w:p w14:paraId="1D4C6638"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profit from trading activities that covers overheads and net profit</w:t>
            </w:r>
          </w:p>
        </w:tc>
      </w:tr>
      <w:tr w:rsidR="0038674D" w:rsidRPr="00EF32A4" w14:paraId="7C51535D" w14:textId="77777777" w:rsidTr="0038674D">
        <w:trPr>
          <w:trHeight w:val="369"/>
        </w:trPr>
        <w:tc>
          <w:tcPr>
            <w:tcW w:w="268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B9EABA"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Opening stock budget £</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6E91FA"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55,346</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E2E456"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50,000</w:t>
            </w:r>
          </w:p>
        </w:tc>
        <w:tc>
          <w:tcPr>
            <w:tcW w:w="12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5E79C8" w14:textId="77777777" w:rsidR="0038674D" w:rsidRPr="00EF32A4" w:rsidRDefault="0038674D" w:rsidP="00613973">
            <w:pPr>
              <w:spacing w:after="0"/>
              <w:jc w:val="both"/>
              <w:rPr>
                <w:rFonts w:ascii="Arial" w:eastAsia="Times New Roman" w:hAnsi="Arial" w:cs="Arial"/>
              </w:rPr>
            </w:pPr>
            <w:r w:rsidRPr="00EF32A4">
              <w:rPr>
                <w:rFonts w:ascii="Arial" w:eastAsia="Times New Roman" w:hAnsi="Arial" w:cs="Arial"/>
                <w:bCs/>
                <w:color w:val="000000"/>
                <w:kern w:val="24"/>
              </w:rPr>
              <w:t>-</w:t>
            </w:r>
            <w:r w:rsidR="00613973" w:rsidRPr="00EF32A4">
              <w:rPr>
                <w:rFonts w:ascii="Arial" w:eastAsia="Times New Roman" w:hAnsi="Arial" w:cs="Arial"/>
                <w:bCs/>
                <w:color w:val="000000"/>
                <w:kern w:val="24"/>
              </w:rPr>
              <w:t>4</w:t>
            </w:r>
            <w:r w:rsidRPr="00EF32A4">
              <w:rPr>
                <w:rFonts w:ascii="Arial" w:eastAsia="Times New Roman" w:hAnsi="Arial" w:cs="Arial"/>
                <w:bCs/>
                <w:color w:val="000000"/>
                <w:kern w:val="24"/>
              </w:rPr>
              <w:t>%</w:t>
            </w:r>
          </w:p>
        </w:tc>
        <w:tc>
          <w:tcPr>
            <w:tcW w:w="5032" w:type="dxa"/>
            <w:tcBorders>
              <w:top w:val="single" w:sz="8" w:space="0" w:color="000000"/>
              <w:left w:val="single" w:sz="8" w:space="0" w:color="000000"/>
              <w:bottom w:val="single" w:sz="8" w:space="0" w:color="000000"/>
              <w:right w:val="single" w:sz="8" w:space="0" w:color="000000"/>
            </w:tcBorders>
          </w:tcPr>
          <w:p w14:paraId="5A72AC85"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stock holding selling value at the beginning of the season</w:t>
            </w:r>
          </w:p>
        </w:tc>
      </w:tr>
      <w:tr w:rsidR="0038674D" w:rsidRPr="00EF32A4" w14:paraId="400346BF" w14:textId="77777777" w:rsidTr="0038674D">
        <w:trPr>
          <w:trHeight w:val="376"/>
        </w:trPr>
        <w:tc>
          <w:tcPr>
            <w:tcW w:w="268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F809F3"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Closing stock budget £</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A2902A"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55,346</w:t>
            </w:r>
          </w:p>
        </w:tc>
        <w:tc>
          <w:tcPr>
            <w:tcW w:w="1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814969" w14:textId="77777777" w:rsidR="0038674D" w:rsidRPr="00EF32A4" w:rsidRDefault="0038674D" w:rsidP="000319AD">
            <w:pPr>
              <w:spacing w:after="0"/>
              <w:jc w:val="both"/>
              <w:rPr>
                <w:rFonts w:ascii="Arial" w:eastAsia="Times New Roman" w:hAnsi="Arial" w:cs="Arial"/>
              </w:rPr>
            </w:pPr>
            <w:r w:rsidRPr="00EF32A4">
              <w:rPr>
                <w:rFonts w:ascii="Arial" w:eastAsia="Times New Roman" w:hAnsi="Arial" w:cs="Arial"/>
                <w:bCs/>
                <w:color w:val="000000"/>
                <w:kern w:val="24"/>
              </w:rPr>
              <w:t>55,500</w:t>
            </w:r>
          </w:p>
        </w:tc>
        <w:tc>
          <w:tcPr>
            <w:tcW w:w="12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EA3D26" w14:textId="77777777" w:rsidR="0038674D" w:rsidRPr="00EF32A4" w:rsidRDefault="0038674D" w:rsidP="00613973">
            <w:pPr>
              <w:spacing w:after="0"/>
              <w:jc w:val="both"/>
              <w:rPr>
                <w:rFonts w:ascii="Arial" w:eastAsia="Times New Roman" w:hAnsi="Arial" w:cs="Arial"/>
              </w:rPr>
            </w:pPr>
            <w:r w:rsidRPr="00EF32A4">
              <w:rPr>
                <w:rFonts w:ascii="Arial" w:eastAsia="Times New Roman" w:hAnsi="Arial" w:cs="Arial"/>
                <w:bCs/>
                <w:color w:val="000000"/>
                <w:kern w:val="24"/>
              </w:rPr>
              <w:t>-</w:t>
            </w:r>
            <w:r w:rsidR="00613973" w:rsidRPr="00EF32A4">
              <w:rPr>
                <w:rFonts w:ascii="Arial" w:eastAsia="Times New Roman" w:hAnsi="Arial" w:cs="Arial"/>
                <w:bCs/>
                <w:color w:val="000000"/>
                <w:kern w:val="24"/>
              </w:rPr>
              <w:t>4</w:t>
            </w:r>
            <w:r w:rsidRPr="00EF32A4">
              <w:rPr>
                <w:rFonts w:ascii="Arial" w:eastAsia="Times New Roman" w:hAnsi="Arial" w:cs="Arial"/>
                <w:bCs/>
                <w:color w:val="000000"/>
                <w:kern w:val="24"/>
              </w:rPr>
              <w:t>%</w:t>
            </w:r>
          </w:p>
        </w:tc>
        <w:tc>
          <w:tcPr>
            <w:tcW w:w="5032" w:type="dxa"/>
            <w:tcBorders>
              <w:top w:val="single" w:sz="8" w:space="0" w:color="000000"/>
              <w:left w:val="single" w:sz="8" w:space="0" w:color="000000"/>
              <w:bottom w:val="single" w:sz="8" w:space="0" w:color="000000"/>
              <w:right w:val="single" w:sz="8" w:space="0" w:color="000000"/>
            </w:tcBorders>
          </w:tcPr>
          <w:p w14:paraId="0A38CC53" w14:textId="77777777" w:rsidR="0038674D" w:rsidRPr="00EF32A4" w:rsidRDefault="0038674D" w:rsidP="000319AD">
            <w:pPr>
              <w:spacing w:after="0"/>
              <w:jc w:val="both"/>
              <w:rPr>
                <w:rFonts w:ascii="Arial" w:eastAsia="Times New Roman" w:hAnsi="Arial" w:cs="Arial"/>
                <w:bCs/>
                <w:color w:val="000000"/>
                <w:kern w:val="24"/>
              </w:rPr>
            </w:pPr>
            <w:r w:rsidRPr="00EF32A4">
              <w:rPr>
                <w:rFonts w:ascii="Arial" w:eastAsia="Times New Roman" w:hAnsi="Arial" w:cs="Arial"/>
                <w:bCs/>
                <w:color w:val="000000"/>
                <w:kern w:val="24"/>
              </w:rPr>
              <w:t>The stock holding selling value at the end of the season</w:t>
            </w:r>
          </w:p>
        </w:tc>
      </w:tr>
    </w:tbl>
    <w:p w14:paraId="58BDE8DF" w14:textId="77777777" w:rsidR="0038674D" w:rsidRPr="00EF32A4" w:rsidRDefault="0038674D">
      <w:pPr>
        <w:rPr>
          <w:rFonts w:ascii="Arial" w:hAnsi="Arial" w:cs="Arial"/>
        </w:rPr>
      </w:pPr>
    </w:p>
    <w:p w14:paraId="089BAAE7" w14:textId="77777777" w:rsidR="00B73B64" w:rsidRPr="00EF32A4" w:rsidRDefault="0038674D">
      <w:pPr>
        <w:rPr>
          <w:rFonts w:ascii="Arial" w:hAnsi="Arial" w:cs="Arial"/>
        </w:rPr>
      </w:pPr>
      <w:r w:rsidRPr="00EF32A4">
        <w:rPr>
          <w:rFonts w:ascii="Arial" w:hAnsi="Arial" w:cs="Arial"/>
        </w:rPr>
        <w:t>Discussion</w:t>
      </w:r>
    </w:p>
    <w:p w14:paraId="56F80502" w14:textId="77777777" w:rsidR="0038674D" w:rsidRDefault="0038674D" w:rsidP="0038674D">
      <w:pPr>
        <w:pStyle w:val="ListParagraph"/>
        <w:numPr>
          <w:ilvl w:val="0"/>
          <w:numId w:val="2"/>
        </w:numPr>
        <w:rPr>
          <w:rFonts w:ascii="Arial" w:hAnsi="Arial" w:cs="Arial"/>
        </w:rPr>
      </w:pPr>
      <w:r w:rsidRPr="00EF32A4">
        <w:rPr>
          <w:rFonts w:ascii="Arial" w:hAnsi="Arial" w:cs="Arial"/>
        </w:rPr>
        <w:t>As full price sell through rates vary what is the impact on the sales turnover and markdown spend relationship?</w:t>
      </w:r>
    </w:p>
    <w:p w14:paraId="0178ED2C" w14:textId="77777777" w:rsidR="0038674D" w:rsidRDefault="0038674D" w:rsidP="0038674D">
      <w:pPr>
        <w:pStyle w:val="ListParagraph"/>
        <w:numPr>
          <w:ilvl w:val="0"/>
          <w:numId w:val="2"/>
        </w:numPr>
        <w:rPr>
          <w:rFonts w:ascii="Arial" w:hAnsi="Arial" w:cs="Arial"/>
        </w:rPr>
      </w:pPr>
      <w:r w:rsidRPr="00EF32A4">
        <w:rPr>
          <w:rFonts w:ascii="Arial" w:hAnsi="Arial" w:cs="Arial"/>
        </w:rPr>
        <w:t>What factors will affect the full price sell through rates achieved within a season?</w:t>
      </w:r>
    </w:p>
    <w:p w14:paraId="0F284050" w14:textId="77777777" w:rsidR="0038674D" w:rsidRDefault="0038674D" w:rsidP="0038674D">
      <w:pPr>
        <w:pStyle w:val="ListParagraph"/>
        <w:numPr>
          <w:ilvl w:val="0"/>
          <w:numId w:val="2"/>
        </w:numPr>
        <w:rPr>
          <w:rFonts w:ascii="Arial" w:hAnsi="Arial" w:cs="Arial"/>
        </w:rPr>
      </w:pPr>
      <w:r w:rsidRPr="00EF32A4">
        <w:rPr>
          <w:rFonts w:ascii="Arial" w:hAnsi="Arial" w:cs="Arial"/>
        </w:rPr>
        <w:t>Is the Gross trading profit generated in exercise 3 better or worse than Last year?</w:t>
      </w:r>
    </w:p>
    <w:p w14:paraId="7B711B99" w14:textId="77777777" w:rsidR="0038674D" w:rsidRDefault="0038674D" w:rsidP="0038674D">
      <w:pPr>
        <w:pStyle w:val="ListParagraph"/>
        <w:numPr>
          <w:ilvl w:val="0"/>
          <w:numId w:val="2"/>
        </w:numPr>
        <w:rPr>
          <w:rFonts w:ascii="Arial" w:hAnsi="Arial" w:cs="Arial"/>
        </w:rPr>
      </w:pPr>
      <w:r w:rsidRPr="00EF32A4">
        <w:rPr>
          <w:rFonts w:ascii="Arial" w:hAnsi="Arial" w:cs="Arial"/>
        </w:rPr>
        <w:t>Why?</w:t>
      </w:r>
    </w:p>
    <w:p w14:paraId="5E1EECEC" w14:textId="77777777" w:rsidR="0038674D" w:rsidRDefault="0038674D" w:rsidP="0038674D">
      <w:pPr>
        <w:pStyle w:val="ListParagraph"/>
        <w:numPr>
          <w:ilvl w:val="0"/>
          <w:numId w:val="2"/>
        </w:numPr>
        <w:rPr>
          <w:rFonts w:ascii="Arial" w:hAnsi="Arial" w:cs="Arial"/>
        </w:rPr>
      </w:pPr>
      <w:r w:rsidRPr="00EF32A4">
        <w:rPr>
          <w:rFonts w:ascii="Arial" w:hAnsi="Arial" w:cs="Arial"/>
        </w:rPr>
        <w:t>What is the relationship of the opening and closing stock budgets to Sales turnover, markdown spend and Gross trading profit?</w:t>
      </w:r>
    </w:p>
    <w:p w14:paraId="198F5E6A" w14:textId="77777777" w:rsidR="0038674D" w:rsidRPr="00EF32A4" w:rsidRDefault="0038674D">
      <w:pPr>
        <w:rPr>
          <w:rFonts w:ascii="Arial" w:hAnsi="Arial" w:cs="Arial"/>
        </w:rPr>
      </w:pPr>
    </w:p>
    <w:sectPr w:rsidR="0038674D" w:rsidRPr="00EF3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03C7"/>
    <w:multiLevelType w:val="hybridMultilevel"/>
    <w:tmpl w:val="33F22A9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C1D39C3"/>
    <w:multiLevelType w:val="hybridMultilevel"/>
    <w:tmpl w:val="0FE040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874"/>
    <w:rsid w:val="000140F3"/>
    <w:rsid w:val="00140222"/>
    <w:rsid w:val="002E3874"/>
    <w:rsid w:val="0038674D"/>
    <w:rsid w:val="00444EB3"/>
    <w:rsid w:val="00613973"/>
    <w:rsid w:val="007B7742"/>
    <w:rsid w:val="00B73B64"/>
    <w:rsid w:val="00CD110D"/>
    <w:rsid w:val="00DB4A12"/>
    <w:rsid w:val="00EF32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AE2CB"/>
  <w15:docId w15:val="{ECD6CD7F-7153-4BFE-98CD-6ACEF069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48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874"/>
    <w:pPr>
      <w:ind w:left="720"/>
      <w:contextualSpacing/>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990109">
      <w:bodyDiv w:val="1"/>
      <w:marLeft w:val="0"/>
      <w:marRight w:val="0"/>
      <w:marTop w:val="0"/>
      <w:marBottom w:val="0"/>
      <w:divBdr>
        <w:top w:val="none" w:sz="0" w:space="0" w:color="auto"/>
        <w:left w:val="none" w:sz="0" w:space="0" w:color="auto"/>
        <w:bottom w:val="none" w:sz="0" w:space="0" w:color="auto"/>
        <w:right w:val="none" w:sz="0" w:space="0" w:color="auto"/>
      </w:divBdr>
    </w:div>
    <w:div w:id="7977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the Arts London</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Clark</dc:creator>
  <cp:lastModifiedBy>James Clark</cp:lastModifiedBy>
  <cp:revision>3</cp:revision>
  <dcterms:created xsi:type="dcterms:W3CDTF">2020-06-07T17:12:00Z</dcterms:created>
  <dcterms:modified xsi:type="dcterms:W3CDTF">2020-06-07T17:25:00Z</dcterms:modified>
</cp:coreProperties>
</file>