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76033" w14:textId="77777777" w:rsidR="008E1F1B" w:rsidRDefault="008E1F1B" w:rsidP="008E1F1B">
      <w:pPr>
        <w:tabs>
          <w:tab w:val="right" w:pos="-8280"/>
          <w:tab w:val="left" w:pos="-720"/>
        </w:tabs>
        <w:suppressAutoHyphens/>
        <w:ind w:firstLine="0"/>
        <w:rPr>
          <w:spacing w:val="-3"/>
          <w:lang w:val="en-GB"/>
        </w:rPr>
      </w:pPr>
      <w:bookmarkStart w:id="0" w:name="_Toc325038792"/>
      <w:bookmarkStart w:id="1" w:name="_Toc325038891"/>
      <w:bookmarkStart w:id="2" w:name="_GoBack"/>
      <w:bookmarkEnd w:id="2"/>
    </w:p>
    <w:p w14:paraId="57F7F220" w14:textId="77777777" w:rsidR="00BC0BC2" w:rsidRPr="00A4492A" w:rsidRDefault="00BC0BC2" w:rsidP="00BC0BC2">
      <w:pPr>
        <w:pStyle w:val="Title"/>
        <w:rPr>
          <w:rStyle w:val="BookTitle"/>
          <w:rFonts w:ascii="Times New Roman" w:hAnsi="Times New Roman" w:cs="Times New Roman"/>
          <w:b/>
          <w:iCs w:val="0"/>
        </w:rPr>
      </w:pPr>
      <w:r w:rsidRPr="00A4492A">
        <w:rPr>
          <w:rStyle w:val="BookTitle"/>
          <w:rFonts w:ascii="Times New Roman" w:hAnsi="Times New Roman" w:cs="Times New Roman"/>
        </w:rPr>
        <w:t xml:space="preserve">CHAPTER </w:t>
      </w:r>
      <w:r>
        <w:rPr>
          <w:rStyle w:val="BookTitle"/>
          <w:rFonts w:ascii="Times New Roman" w:hAnsi="Times New Roman" w:cs="Times New Roman"/>
        </w:rPr>
        <w:t>5</w:t>
      </w:r>
    </w:p>
    <w:p w14:paraId="5E10A1E5" w14:textId="77777777" w:rsidR="00BC0BC2" w:rsidRPr="00351810" w:rsidRDefault="00BC0BC2" w:rsidP="00BC0BC2">
      <w:pPr>
        <w:pStyle w:val="Title"/>
        <w:rPr>
          <w:rStyle w:val="BookTitle"/>
          <w:rFonts w:ascii="Times New Roman" w:hAnsi="Times New Roman" w:cs="Times New Roman"/>
        </w:rPr>
      </w:pPr>
      <w:r w:rsidRPr="00351810">
        <w:rPr>
          <w:rStyle w:val="BookTitle"/>
          <w:rFonts w:ascii="Times New Roman" w:hAnsi="Times New Roman" w:cs="Times New Roman"/>
        </w:rPr>
        <w:t xml:space="preserve">Workforce Forecasting </w:t>
      </w:r>
      <w:r>
        <w:rPr>
          <w:rStyle w:val="BookTitle"/>
          <w:rFonts w:ascii="Times New Roman" w:hAnsi="Times New Roman" w:cs="Times New Roman"/>
        </w:rPr>
        <w:t>and Planning</w:t>
      </w:r>
    </w:p>
    <w:p w14:paraId="614E8C94" w14:textId="04A163F2" w:rsidR="00474CEA" w:rsidRDefault="00474CEA" w:rsidP="00474CEA">
      <w:pPr>
        <w:pStyle w:val="Heading2"/>
      </w:pPr>
      <w:r>
        <w:t>Contents</w:t>
      </w:r>
    </w:p>
    <w:p w14:paraId="20E8556D" w14:textId="77777777" w:rsidR="00474CEA" w:rsidRDefault="00474CEA" w:rsidP="00474CEA">
      <w:pPr>
        <w:pStyle w:val="TOC1"/>
        <w:tabs>
          <w:tab w:val="right" w:leader="dot" w:pos="8630"/>
        </w:tabs>
        <w:ind w:firstLine="0"/>
        <w:rPr>
          <w:rFonts w:asciiTheme="minorHAnsi" w:eastAsiaTheme="minorEastAsia" w:hAnsiTheme="minorHAnsi" w:cstheme="minorBidi"/>
          <w:b w:val="0"/>
          <w:noProof/>
          <w:lang w:eastAsia="ja-JP"/>
        </w:rPr>
      </w:pPr>
      <w:r>
        <w:fldChar w:fldCharType="begin"/>
      </w:r>
      <w:r>
        <w:instrText xml:space="preserve"> TOC \o "1-1" </w:instrText>
      </w:r>
      <w:r>
        <w:fldChar w:fldCharType="separate"/>
      </w:r>
      <w:r>
        <w:rPr>
          <w:noProof/>
        </w:rPr>
        <w:t>Suggested answers to  quiz exercises</w:t>
      </w:r>
      <w:r>
        <w:rPr>
          <w:noProof/>
        </w:rPr>
        <w:tab/>
      </w:r>
      <w:r>
        <w:rPr>
          <w:noProof/>
        </w:rPr>
        <w:fldChar w:fldCharType="begin"/>
      </w:r>
      <w:r>
        <w:rPr>
          <w:noProof/>
        </w:rPr>
        <w:instrText xml:space="preserve"> PAGEREF _Toc331682563 \h </w:instrText>
      </w:r>
      <w:r>
        <w:rPr>
          <w:noProof/>
        </w:rPr>
      </w:r>
      <w:r>
        <w:rPr>
          <w:noProof/>
        </w:rPr>
        <w:fldChar w:fldCharType="separate"/>
      </w:r>
      <w:r>
        <w:rPr>
          <w:noProof/>
        </w:rPr>
        <w:t>1</w:t>
      </w:r>
      <w:r>
        <w:rPr>
          <w:noProof/>
        </w:rPr>
        <w:fldChar w:fldCharType="end"/>
      </w:r>
    </w:p>
    <w:p w14:paraId="0C21FC22" w14:textId="77777777" w:rsidR="00474CEA" w:rsidRDefault="00474CEA" w:rsidP="00474CEA">
      <w:pPr>
        <w:pStyle w:val="TOC1"/>
        <w:tabs>
          <w:tab w:val="right" w:leader="dot" w:pos="8630"/>
        </w:tabs>
        <w:ind w:firstLine="0"/>
        <w:rPr>
          <w:rFonts w:asciiTheme="minorHAnsi" w:eastAsiaTheme="minorEastAsia" w:hAnsiTheme="minorHAnsi" w:cstheme="minorBidi"/>
          <w:b w:val="0"/>
          <w:noProof/>
          <w:lang w:eastAsia="ja-JP"/>
        </w:rPr>
      </w:pPr>
      <w:r>
        <w:rPr>
          <w:noProof/>
        </w:rPr>
        <w:t>Quiz 5.1: Implementation Barriers</w:t>
      </w:r>
      <w:r>
        <w:rPr>
          <w:noProof/>
        </w:rPr>
        <w:tab/>
      </w:r>
      <w:r>
        <w:rPr>
          <w:noProof/>
        </w:rPr>
        <w:fldChar w:fldCharType="begin"/>
      </w:r>
      <w:r>
        <w:rPr>
          <w:noProof/>
        </w:rPr>
        <w:instrText xml:space="preserve"> PAGEREF _Toc331682564 \h </w:instrText>
      </w:r>
      <w:r>
        <w:rPr>
          <w:noProof/>
        </w:rPr>
      </w:r>
      <w:r>
        <w:rPr>
          <w:noProof/>
        </w:rPr>
        <w:fldChar w:fldCharType="separate"/>
      </w:r>
      <w:r>
        <w:rPr>
          <w:noProof/>
        </w:rPr>
        <w:t>1</w:t>
      </w:r>
      <w:r>
        <w:rPr>
          <w:noProof/>
        </w:rPr>
        <w:fldChar w:fldCharType="end"/>
      </w:r>
    </w:p>
    <w:p w14:paraId="0ED26D69" w14:textId="77777777" w:rsidR="00474CEA" w:rsidRDefault="00474CEA" w:rsidP="00474CEA">
      <w:pPr>
        <w:pStyle w:val="TOC1"/>
        <w:tabs>
          <w:tab w:val="right" w:leader="dot" w:pos="8630"/>
        </w:tabs>
        <w:ind w:firstLine="0"/>
        <w:rPr>
          <w:rFonts w:asciiTheme="minorHAnsi" w:eastAsiaTheme="minorEastAsia" w:hAnsiTheme="minorHAnsi" w:cstheme="minorBidi"/>
          <w:b w:val="0"/>
          <w:noProof/>
          <w:lang w:eastAsia="ja-JP"/>
        </w:rPr>
      </w:pPr>
      <w:r>
        <w:rPr>
          <w:noProof/>
        </w:rPr>
        <w:t>Quiz EL 4: What are the Top Human Capital Challenges?</w:t>
      </w:r>
      <w:r>
        <w:rPr>
          <w:noProof/>
        </w:rPr>
        <w:tab/>
      </w:r>
      <w:r>
        <w:rPr>
          <w:noProof/>
        </w:rPr>
        <w:fldChar w:fldCharType="begin"/>
      </w:r>
      <w:r>
        <w:rPr>
          <w:noProof/>
        </w:rPr>
        <w:instrText xml:space="preserve"> PAGEREF _Toc331682565 \h </w:instrText>
      </w:r>
      <w:r>
        <w:rPr>
          <w:noProof/>
        </w:rPr>
      </w:r>
      <w:r>
        <w:rPr>
          <w:noProof/>
        </w:rPr>
        <w:fldChar w:fldCharType="separate"/>
      </w:r>
      <w:r>
        <w:rPr>
          <w:noProof/>
        </w:rPr>
        <w:t>3</w:t>
      </w:r>
      <w:r>
        <w:rPr>
          <w:noProof/>
        </w:rPr>
        <w:fldChar w:fldCharType="end"/>
      </w:r>
    </w:p>
    <w:p w14:paraId="39BC0C71" w14:textId="77777777" w:rsidR="00474CEA" w:rsidRDefault="00474CEA" w:rsidP="00474CEA">
      <w:pPr>
        <w:pStyle w:val="TOC1"/>
        <w:tabs>
          <w:tab w:val="right" w:leader="dot" w:pos="8630"/>
        </w:tabs>
        <w:ind w:firstLine="0"/>
        <w:rPr>
          <w:rFonts w:asciiTheme="minorHAnsi" w:eastAsiaTheme="minorEastAsia" w:hAnsiTheme="minorHAnsi" w:cstheme="minorBidi"/>
          <w:b w:val="0"/>
          <w:noProof/>
          <w:lang w:eastAsia="ja-JP"/>
        </w:rPr>
      </w:pPr>
      <w:r>
        <w:rPr>
          <w:noProof/>
        </w:rPr>
        <w:t>References</w:t>
      </w:r>
      <w:r>
        <w:rPr>
          <w:noProof/>
        </w:rPr>
        <w:tab/>
      </w:r>
      <w:r>
        <w:rPr>
          <w:noProof/>
        </w:rPr>
        <w:fldChar w:fldCharType="begin"/>
      </w:r>
      <w:r>
        <w:rPr>
          <w:noProof/>
        </w:rPr>
        <w:instrText xml:space="preserve"> PAGEREF _Toc331682566 \h </w:instrText>
      </w:r>
      <w:r>
        <w:rPr>
          <w:noProof/>
        </w:rPr>
      </w:r>
      <w:r>
        <w:rPr>
          <w:noProof/>
        </w:rPr>
        <w:fldChar w:fldCharType="separate"/>
      </w:r>
      <w:r>
        <w:rPr>
          <w:noProof/>
        </w:rPr>
        <w:t>4</w:t>
      </w:r>
      <w:r>
        <w:rPr>
          <w:noProof/>
        </w:rPr>
        <w:fldChar w:fldCharType="end"/>
      </w:r>
    </w:p>
    <w:p w14:paraId="10C53F0D" w14:textId="5909CBFE" w:rsidR="00474CEA" w:rsidRPr="00474CEA" w:rsidRDefault="00474CEA" w:rsidP="00474CEA">
      <w:pPr>
        <w:pStyle w:val="Heading2"/>
      </w:pPr>
      <w:r>
        <w:rPr>
          <w:rFonts w:eastAsia="Times New Roman" w:cs="Times New Roman"/>
          <w:color w:val="auto"/>
          <w:spacing w:val="0"/>
          <w:sz w:val="24"/>
          <w:szCs w:val="24"/>
          <w:lang w:val="en-CA" w:eastAsia="en-US"/>
        </w:rPr>
        <w:fldChar w:fldCharType="end"/>
      </w:r>
    </w:p>
    <w:p w14:paraId="44D2305A" w14:textId="5C647B05" w:rsidR="00AB2771" w:rsidRDefault="00E52C8A" w:rsidP="00474CEA">
      <w:pPr>
        <w:pStyle w:val="Heading1"/>
      </w:pPr>
      <w:bookmarkStart w:id="3" w:name="_Toc331682563"/>
      <w:r w:rsidRPr="008E1F1B">
        <w:t xml:space="preserve">Suggested answers </w:t>
      </w:r>
      <w:proofErr w:type="gramStart"/>
      <w:r w:rsidRPr="008E1F1B">
        <w:t xml:space="preserve">to </w:t>
      </w:r>
      <w:r w:rsidR="00474CEA">
        <w:t xml:space="preserve"> </w:t>
      </w:r>
      <w:r w:rsidRPr="008E1F1B">
        <w:t>quiz</w:t>
      </w:r>
      <w:proofErr w:type="gramEnd"/>
      <w:r w:rsidRPr="008E1F1B">
        <w:t xml:space="preserve"> exercise</w:t>
      </w:r>
      <w:bookmarkEnd w:id="0"/>
      <w:bookmarkEnd w:id="1"/>
      <w:r w:rsidR="00474CEA">
        <w:t>s</w:t>
      </w:r>
      <w:bookmarkEnd w:id="3"/>
    </w:p>
    <w:p w14:paraId="321C486A" w14:textId="0EFDECD3" w:rsidR="00AB2771" w:rsidRDefault="00AB2771" w:rsidP="00C40E7E">
      <w:pPr>
        <w:ind w:firstLine="0"/>
      </w:pPr>
    </w:p>
    <w:p w14:paraId="375A71DD" w14:textId="6EC95A64" w:rsidR="003B0E85" w:rsidRDefault="00BC0BC2" w:rsidP="003B0E85">
      <w:pPr>
        <w:pStyle w:val="Heading1"/>
      </w:pPr>
      <w:bookmarkStart w:id="4" w:name="_Toc325038793"/>
      <w:bookmarkStart w:id="5" w:name="_Toc325038892"/>
      <w:bookmarkStart w:id="6" w:name="_Toc325373637"/>
      <w:bookmarkStart w:id="7" w:name="_Toc331682564"/>
      <w:r>
        <w:t>Quiz 5</w:t>
      </w:r>
      <w:r w:rsidR="00E52C8A" w:rsidRPr="00AB2771">
        <w:t xml:space="preserve">.1: </w:t>
      </w:r>
      <w:r w:rsidR="003B0E85">
        <w:t>Implementation Barriers</w:t>
      </w:r>
      <w:r w:rsidR="00E52C8A" w:rsidRPr="00FE2156">
        <w:rPr>
          <w:rStyle w:val="EndnoteReference"/>
          <w:i/>
        </w:rPr>
        <w:endnoteReference w:id="1"/>
      </w:r>
      <w:bookmarkEnd w:id="4"/>
      <w:bookmarkEnd w:id="5"/>
      <w:bookmarkEnd w:id="6"/>
      <w:bookmarkEnd w:id="7"/>
    </w:p>
    <w:p w14:paraId="3135CF7A" w14:textId="77777777" w:rsidR="001177B9" w:rsidRDefault="001177B9" w:rsidP="001177B9">
      <w:pPr>
        <w:ind w:firstLine="0"/>
      </w:pPr>
      <w:r>
        <w:t xml:space="preserve">The message is that </w:t>
      </w:r>
      <w:r w:rsidRPr="00860E92">
        <w:t>Gener</w:t>
      </w:r>
      <w:r>
        <w:t xml:space="preserve">ation Y workers </w:t>
      </w:r>
      <w:r w:rsidRPr="00860E92">
        <w:t>are not as</w:t>
      </w:r>
      <w:r>
        <w:t xml:space="preserve"> different as we think they are</w:t>
      </w:r>
      <w:r w:rsidRPr="00860E92">
        <w:t xml:space="preserve">. </w:t>
      </w:r>
      <w:r>
        <w:t xml:space="preserve"> </w:t>
      </w:r>
      <w:r>
        <w:rPr>
          <w:bCs/>
        </w:rPr>
        <w:t xml:space="preserve">Research </w:t>
      </w:r>
      <w:r w:rsidRPr="00822BFC">
        <w:rPr>
          <w:bCs/>
        </w:rPr>
        <w:t>offers the following evidence</w:t>
      </w:r>
      <w:r>
        <w:rPr>
          <w:bCs/>
        </w:rPr>
        <w:t>.</w:t>
      </w:r>
      <w:r>
        <w:t xml:space="preserve"> The first three items focus on work and career engagement, demand for instant feedback even when applying for a job, and are more techno savvy.</w:t>
      </w:r>
    </w:p>
    <w:p w14:paraId="78654B57" w14:textId="77777777" w:rsidR="001177B9" w:rsidRPr="001177B9" w:rsidRDefault="001177B9" w:rsidP="001177B9">
      <w:pPr>
        <w:pStyle w:val="ListParagraph"/>
        <w:numPr>
          <w:ilvl w:val="0"/>
          <w:numId w:val="12"/>
        </w:numPr>
        <w:spacing w:line="360" w:lineRule="auto"/>
        <w:rPr>
          <w:rFonts w:ascii="Times New Roman" w:eastAsia="Times New Roman" w:hAnsi="Times New Roman"/>
          <w:color w:val="auto"/>
          <w:lang w:val="en-CA" w:eastAsia="en-US"/>
        </w:rPr>
      </w:pPr>
      <w:r w:rsidRPr="001177B9">
        <w:rPr>
          <w:rFonts w:ascii="Times New Roman" w:eastAsia="Times New Roman" w:hAnsi="Times New Roman"/>
          <w:color w:val="auto"/>
          <w:lang w:val="en-CA" w:eastAsia="en-US"/>
        </w:rPr>
        <w:t>Generation Y people score the same on measures of career engagement as Gen-</w:t>
      </w:r>
      <w:proofErr w:type="spellStart"/>
      <w:r w:rsidRPr="001177B9">
        <w:rPr>
          <w:rFonts w:ascii="Times New Roman" w:eastAsia="Times New Roman" w:hAnsi="Times New Roman"/>
          <w:color w:val="auto"/>
          <w:lang w:val="en-CA" w:eastAsia="en-US"/>
        </w:rPr>
        <w:t>Xers</w:t>
      </w:r>
      <w:proofErr w:type="spellEnd"/>
      <w:r w:rsidRPr="001177B9">
        <w:rPr>
          <w:rFonts w:ascii="Times New Roman" w:eastAsia="Times New Roman" w:hAnsi="Times New Roman"/>
          <w:color w:val="auto"/>
          <w:lang w:val="en-CA" w:eastAsia="en-US"/>
        </w:rPr>
        <w:t xml:space="preserve"> and </w:t>
      </w:r>
      <w:proofErr w:type="spellStart"/>
      <w:r w:rsidRPr="001177B9">
        <w:rPr>
          <w:rFonts w:ascii="Times New Roman" w:eastAsia="Times New Roman" w:hAnsi="Times New Roman"/>
          <w:color w:val="auto"/>
          <w:lang w:val="en-CA" w:eastAsia="en-US"/>
        </w:rPr>
        <w:t>babyboomers</w:t>
      </w:r>
      <w:proofErr w:type="spellEnd"/>
      <w:r w:rsidRPr="001177B9">
        <w:rPr>
          <w:rFonts w:ascii="Times New Roman" w:eastAsia="Times New Roman" w:hAnsi="Times New Roman"/>
          <w:color w:val="auto"/>
          <w:lang w:val="en-CA" w:eastAsia="en-US"/>
        </w:rPr>
        <w:t>.</w:t>
      </w:r>
    </w:p>
    <w:p w14:paraId="61084882" w14:textId="77777777" w:rsidR="001177B9" w:rsidRPr="001177B9" w:rsidRDefault="001177B9" w:rsidP="001177B9">
      <w:pPr>
        <w:pStyle w:val="ListParagraph"/>
        <w:numPr>
          <w:ilvl w:val="0"/>
          <w:numId w:val="12"/>
        </w:numPr>
        <w:spacing w:line="360" w:lineRule="auto"/>
        <w:rPr>
          <w:rFonts w:ascii="Times New Roman" w:eastAsia="Times New Roman" w:hAnsi="Times New Roman"/>
          <w:color w:val="auto"/>
          <w:lang w:val="en-CA" w:eastAsia="en-US"/>
        </w:rPr>
      </w:pPr>
      <w:r w:rsidRPr="001177B9">
        <w:rPr>
          <w:rFonts w:ascii="Times New Roman" w:eastAsia="Times New Roman" w:hAnsi="Times New Roman"/>
          <w:color w:val="auto"/>
          <w:lang w:val="en-CA" w:eastAsia="en-US"/>
        </w:rPr>
        <w:t>They are willing to go through the long waits of a job application process.</w:t>
      </w:r>
    </w:p>
    <w:p w14:paraId="15D27F77" w14:textId="77777777" w:rsidR="001177B9" w:rsidRPr="001177B9" w:rsidRDefault="001177B9" w:rsidP="001177B9">
      <w:pPr>
        <w:pStyle w:val="ListParagraph"/>
        <w:numPr>
          <w:ilvl w:val="0"/>
          <w:numId w:val="12"/>
        </w:numPr>
        <w:spacing w:line="360" w:lineRule="auto"/>
        <w:rPr>
          <w:rFonts w:ascii="Times New Roman" w:eastAsia="Times New Roman" w:hAnsi="Times New Roman"/>
          <w:color w:val="auto"/>
          <w:lang w:val="en-CA" w:eastAsia="en-US"/>
        </w:rPr>
      </w:pPr>
      <w:r w:rsidRPr="001177B9">
        <w:rPr>
          <w:rFonts w:ascii="Times New Roman" w:eastAsia="Times New Roman" w:hAnsi="Times New Roman"/>
          <w:color w:val="auto"/>
          <w:lang w:val="en-CA" w:eastAsia="en-US"/>
        </w:rPr>
        <w:t>While they might prefer on-line tools, so do other people.</w:t>
      </w:r>
      <w:r w:rsidRPr="00F0554E">
        <w:rPr>
          <w:rFonts w:ascii="Times New Roman" w:eastAsia="Times New Roman" w:hAnsi="Times New Roman"/>
          <w:color w:val="auto"/>
          <w:vertAlign w:val="superscript"/>
          <w:lang w:val="en-CA" w:eastAsia="en-US"/>
        </w:rPr>
        <w:endnoteReference w:id="2"/>
      </w:r>
      <w:r w:rsidRPr="00F0554E">
        <w:rPr>
          <w:rFonts w:ascii="Times New Roman" w:eastAsia="Times New Roman" w:hAnsi="Times New Roman"/>
          <w:color w:val="auto"/>
          <w:vertAlign w:val="superscript"/>
          <w:lang w:val="en-CA" w:eastAsia="en-US"/>
        </w:rPr>
        <w:t xml:space="preserve"> </w:t>
      </w:r>
    </w:p>
    <w:p w14:paraId="4770C2B6" w14:textId="77777777" w:rsidR="001177B9" w:rsidRPr="00860E92" w:rsidRDefault="001177B9" w:rsidP="001177B9">
      <w:r>
        <w:t>The next questions focus on</w:t>
      </w:r>
      <w:r w:rsidRPr="00860E92">
        <w:t xml:space="preserve"> multi-task</w:t>
      </w:r>
      <w:r>
        <w:t xml:space="preserve">ing tendencies, being obsessed with work-life balance, being self-absorbed and </w:t>
      </w:r>
      <w:r w:rsidRPr="00860E92">
        <w:t>more collegial.</w:t>
      </w:r>
    </w:p>
    <w:p w14:paraId="4BEA88B9" w14:textId="77777777" w:rsidR="001177B9" w:rsidRPr="001177B9" w:rsidRDefault="001177B9" w:rsidP="001177B9">
      <w:pPr>
        <w:pStyle w:val="ListParagraph"/>
        <w:numPr>
          <w:ilvl w:val="0"/>
          <w:numId w:val="12"/>
        </w:numPr>
        <w:spacing w:line="360" w:lineRule="auto"/>
        <w:rPr>
          <w:rFonts w:ascii="Times New Roman" w:eastAsia="Times New Roman" w:hAnsi="Times New Roman"/>
          <w:color w:val="auto"/>
          <w:lang w:val="en-CA" w:eastAsia="en-US"/>
        </w:rPr>
      </w:pPr>
      <w:r w:rsidRPr="001177B9">
        <w:rPr>
          <w:rFonts w:ascii="Times New Roman" w:eastAsia="Times New Roman" w:hAnsi="Times New Roman"/>
          <w:color w:val="auto"/>
          <w:lang w:val="en-CA" w:eastAsia="en-US"/>
        </w:rPr>
        <w:t xml:space="preserve">They desire and ability to juggle several things at once seems to be the same when we compare those aged 25-29 with those aged 40-49. </w:t>
      </w:r>
    </w:p>
    <w:p w14:paraId="7F8BFB6B" w14:textId="77777777" w:rsidR="001177B9" w:rsidRPr="001177B9" w:rsidRDefault="001177B9" w:rsidP="001177B9">
      <w:pPr>
        <w:pStyle w:val="ListParagraph"/>
        <w:numPr>
          <w:ilvl w:val="0"/>
          <w:numId w:val="12"/>
        </w:numPr>
        <w:spacing w:line="360" w:lineRule="auto"/>
        <w:rPr>
          <w:rFonts w:ascii="Times New Roman" w:eastAsia="Times New Roman" w:hAnsi="Times New Roman"/>
          <w:color w:val="auto"/>
          <w:lang w:val="en-CA" w:eastAsia="en-US"/>
        </w:rPr>
      </w:pPr>
      <w:r w:rsidRPr="001177B9">
        <w:rPr>
          <w:rFonts w:ascii="Times New Roman" w:eastAsia="Times New Roman" w:hAnsi="Times New Roman"/>
          <w:color w:val="auto"/>
          <w:lang w:val="en-CA" w:eastAsia="en-US"/>
        </w:rPr>
        <w:t xml:space="preserve">While they might want work life balance, so does everyone else. They also score similarly on their desire for learning, </w:t>
      </w:r>
      <w:proofErr w:type="spellStart"/>
      <w:r w:rsidRPr="001177B9">
        <w:rPr>
          <w:rFonts w:ascii="Times New Roman" w:eastAsia="Times New Roman" w:hAnsi="Times New Roman"/>
          <w:color w:val="auto"/>
          <w:lang w:val="en-CA" w:eastAsia="en-US"/>
        </w:rPr>
        <w:t>self development</w:t>
      </w:r>
      <w:proofErr w:type="spellEnd"/>
      <w:r w:rsidRPr="001177B9">
        <w:rPr>
          <w:rFonts w:ascii="Times New Roman" w:eastAsia="Times New Roman" w:hAnsi="Times New Roman"/>
          <w:color w:val="auto"/>
          <w:lang w:val="en-CA" w:eastAsia="en-US"/>
        </w:rPr>
        <w:t xml:space="preserve"> and being stretched.</w:t>
      </w:r>
    </w:p>
    <w:p w14:paraId="38392C63" w14:textId="77777777" w:rsidR="001177B9" w:rsidRPr="001177B9" w:rsidRDefault="001177B9" w:rsidP="001177B9">
      <w:pPr>
        <w:pStyle w:val="ListParagraph"/>
        <w:numPr>
          <w:ilvl w:val="0"/>
          <w:numId w:val="12"/>
        </w:numPr>
        <w:spacing w:line="360" w:lineRule="auto"/>
        <w:rPr>
          <w:rFonts w:ascii="Times New Roman" w:eastAsia="Times New Roman" w:hAnsi="Times New Roman"/>
          <w:color w:val="auto"/>
          <w:lang w:val="en-CA" w:eastAsia="en-US"/>
        </w:rPr>
      </w:pPr>
      <w:r w:rsidRPr="001177B9">
        <w:rPr>
          <w:rFonts w:ascii="Times New Roman" w:eastAsia="Times New Roman" w:hAnsi="Times New Roman"/>
          <w:color w:val="auto"/>
          <w:lang w:val="en-CA" w:eastAsia="en-US"/>
        </w:rPr>
        <w:t xml:space="preserve">Researchers found no major differences on being self-absorbed or self-inflated views of </w:t>
      </w:r>
      <w:proofErr w:type="gramStart"/>
      <w:r w:rsidRPr="001177B9">
        <w:rPr>
          <w:rFonts w:ascii="Times New Roman" w:eastAsia="Times New Roman" w:hAnsi="Times New Roman"/>
          <w:color w:val="auto"/>
          <w:lang w:val="en-CA" w:eastAsia="en-US"/>
        </w:rPr>
        <w:t>themselves</w:t>
      </w:r>
      <w:proofErr w:type="gramEnd"/>
      <w:r w:rsidRPr="001177B9">
        <w:rPr>
          <w:rFonts w:ascii="Times New Roman" w:eastAsia="Times New Roman" w:hAnsi="Times New Roman"/>
          <w:color w:val="auto"/>
          <w:lang w:val="en-CA" w:eastAsia="en-US"/>
        </w:rPr>
        <w:t xml:space="preserve">. They seem to be similar to other age groups. </w:t>
      </w:r>
    </w:p>
    <w:p w14:paraId="046896D4" w14:textId="77777777" w:rsidR="001177B9" w:rsidRPr="001177B9" w:rsidRDefault="001177B9" w:rsidP="001177B9">
      <w:pPr>
        <w:pStyle w:val="ListParagraph"/>
        <w:numPr>
          <w:ilvl w:val="0"/>
          <w:numId w:val="12"/>
        </w:numPr>
        <w:spacing w:line="360" w:lineRule="auto"/>
        <w:rPr>
          <w:rFonts w:ascii="Times New Roman" w:eastAsia="Times New Roman" w:hAnsi="Times New Roman"/>
          <w:color w:val="auto"/>
          <w:lang w:val="en-CA" w:eastAsia="en-US"/>
        </w:rPr>
      </w:pPr>
      <w:r w:rsidRPr="001177B9">
        <w:rPr>
          <w:rFonts w:ascii="Times New Roman" w:eastAsia="Times New Roman" w:hAnsi="Times New Roman"/>
          <w:color w:val="auto"/>
          <w:lang w:val="en-CA" w:eastAsia="en-US"/>
        </w:rPr>
        <w:lastRenderedPageBreak/>
        <w:t xml:space="preserve">Both groups place working in a collegial, friendly environment as important. </w:t>
      </w:r>
      <w:r w:rsidRPr="001177B9">
        <w:rPr>
          <w:rFonts w:ascii="Times New Roman" w:eastAsia="Times New Roman" w:hAnsi="Times New Roman"/>
          <w:color w:val="auto"/>
          <w:lang w:val="en-CA" w:eastAsia="en-US"/>
        </w:rPr>
        <w:endnoteReference w:id="3"/>
      </w:r>
    </w:p>
    <w:p w14:paraId="3B6EF3B8" w14:textId="77777777" w:rsidR="001177B9" w:rsidRPr="004232C9" w:rsidRDefault="001177B9" w:rsidP="001177B9">
      <w:r>
        <w:t>I</w:t>
      </w:r>
      <w:r w:rsidRPr="004232C9">
        <w:t>t is not clear whether older and younger workers in today's organizations are any different than those in the past. Perhaps the employee-employer contract has changed where organizations are no longer the guardian of an employee's career, as individuals find themselves involved in careers involving frequent changes, requiring them to be more adaptive.</w:t>
      </w:r>
      <w:r w:rsidRPr="004232C9">
        <w:rPr>
          <w:rStyle w:val="EndnoteReference"/>
        </w:rPr>
        <w:endnoteReference w:id="4"/>
      </w:r>
      <w:r w:rsidRPr="004232C9">
        <w:t xml:space="preserve">  A person's career might be </w:t>
      </w:r>
      <w:r>
        <w:t xml:space="preserve">a </w:t>
      </w:r>
      <w:r w:rsidRPr="004232C9">
        <w:t>more internally-directed career.  It is “a career driven by the person, not the organization, and that will be reinvented by the person from time to time, as the person and the environment change.”</w:t>
      </w:r>
      <w:r w:rsidRPr="004232C9">
        <w:rPr>
          <w:rStyle w:val="EndnoteReference"/>
        </w:rPr>
        <w:endnoteReference w:id="5"/>
      </w:r>
      <w:r w:rsidRPr="004232C9">
        <w:t xml:space="preserve"> </w:t>
      </w:r>
    </w:p>
    <w:p w14:paraId="2A88B63B" w14:textId="77777777" w:rsidR="001177B9" w:rsidRDefault="001177B9" w:rsidP="001177B9">
      <w:r w:rsidRPr="004232C9">
        <w:t xml:space="preserve">The slight differences of Generation Y workers compared to other groups could be the same as differences between all generations. </w:t>
      </w:r>
      <w:r w:rsidRPr="004232C9">
        <w:rPr>
          <w:rStyle w:val="EndnoteReference"/>
          <w:bCs/>
        </w:rPr>
        <w:endnoteReference w:id="6"/>
      </w:r>
      <w:r w:rsidRPr="004232C9">
        <w:t xml:space="preserve"> Our expectations of "who we are" are partially formed by our upbringing. Researchers suggest that younger generations are more connected to their parents than other generations. Their parents are their friends and advocates. As a result of this connection, they have learned to be more assertive, self-confident, independent, and questioning of authority. They will not suffer many of the same workplace abuses as previous generations did, such as tyrannical bosses, unsafe or unhealthy work conditions, or work that </w:t>
      </w:r>
      <w:r>
        <w:t xml:space="preserve">is </w:t>
      </w:r>
      <w:r w:rsidRPr="004232C9">
        <w:t xml:space="preserve">demeaning and uninteresting. In an economy where workers are in greater demand, they can easily find another job. </w:t>
      </w:r>
    </w:p>
    <w:p w14:paraId="59C3CDD9" w14:textId="77777777" w:rsidR="001177B9" w:rsidRDefault="001177B9" w:rsidP="001177B9"/>
    <w:p w14:paraId="44A4EF6B" w14:textId="77777777" w:rsidR="00474CEA" w:rsidRDefault="00474CEA" w:rsidP="001177B9"/>
    <w:p w14:paraId="0681A5E7" w14:textId="77777777" w:rsidR="00474CEA" w:rsidRDefault="00474CEA" w:rsidP="001177B9"/>
    <w:p w14:paraId="36C65414" w14:textId="77777777" w:rsidR="00474CEA" w:rsidRDefault="00474CEA" w:rsidP="001177B9"/>
    <w:p w14:paraId="71944FD7" w14:textId="77777777" w:rsidR="00474CEA" w:rsidRDefault="00474CEA" w:rsidP="001177B9"/>
    <w:p w14:paraId="61C7DD5F" w14:textId="77777777" w:rsidR="00474CEA" w:rsidRDefault="00474CEA" w:rsidP="001177B9"/>
    <w:p w14:paraId="4B845F80" w14:textId="77777777" w:rsidR="00474CEA" w:rsidRDefault="00474CEA" w:rsidP="001177B9"/>
    <w:p w14:paraId="3050911C" w14:textId="77777777" w:rsidR="00474CEA" w:rsidRDefault="00474CEA" w:rsidP="001177B9"/>
    <w:p w14:paraId="1DDBB052" w14:textId="77777777" w:rsidR="00474CEA" w:rsidRDefault="00474CEA" w:rsidP="001177B9"/>
    <w:p w14:paraId="100808C4" w14:textId="77777777" w:rsidR="00474CEA" w:rsidRDefault="00474CEA" w:rsidP="001177B9"/>
    <w:p w14:paraId="1F450BEA" w14:textId="77777777" w:rsidR="00474CEA" w:rsidRDefault="00474CEA" w:rsidP="001177B9"/>
    <w:p w14:paraId="36E6D924" w14:textId="77777777" w:rsidR="00474CEA" w:rsidRDefault="00474CEA" w:rsidP="001177B9"/>
    <w:p w14:paraId="5124F858" w14:textId="77777777" w:rsidR="00474CEA" w:rsidRDefault="00474CEA" w:rsidP="001177B9"/>
    <w:p w14:paraId="12581FA3" w14:textId="77777777" w:rsidR="00474CEA" w:rsidRDefault="00474CEA" w:rsidP="001177B9"/>
    <w:p w14:paraId="6AC2D0A8" w14:textId="3C6D2DD4" w:rsidR="00D567EB" w:rsidRPr="0064663B" w:rsidRDefault="004255A2" w:rsidP="00D567EB">
      <w:pPr>
        <w:pStyle w:val="Heading1"/>
      </w:pPr>
      <w:r>
        <w:lastRenderedPageBreak/>
        <w:t xml:space="preserve"> </w:t>
      </w:r>
      <w:bookmarkStart w:id="8" w:name="_Toc331682565"/>
      <w:r w:rsidR="00D567EB">
        <w:t>Quiz EL 4</w:t>
      </w:r>
      <w:r w:rsidR="00D567EB" w:rsidRPr="00AB2771">
        <w:t xml:space="preserve">: </w:t>
      </w:r>
      <w:r w:rsidR="00D567EB" w:rsidRPr="0064663B">
        <w:t>What are the Top Human Capital Challenges</w:t>
      </w:r>
      <w:r w:rsidR="00D567EB">
        <w:t>?</w:t>
      </w:r>
      <w:bookmarkEnd w:id="8"/>
    </w:p>
    <w:p w14:paraId="1BAC9EC2" w14:textId="59C2779F" w:rsidR="00D567EB" w:rsidRDefault="00D567EB" w:rsidP="00D567EB">
      <w:pPr>
        <w:pStyle w:val="NormalWeb"/>
        <w:tabs>
          <w:tab w:val="clear" w:pos="8640"/>
        </w:tabs>
      </w:pPr>
      <w:r>
        <w:t xml:space="preserve">Transfer your scores to the following table to show how you ranked these challenges. The Conference Board rankings are based on the frequency of HR managers identifying three key challenges. The rankings are in parentheses ( ).  </w:t>
      </w:r>
    </w:p>
    <w:p w14:paraId="7478CE65" w14:textId="77777777" w:rsidR="00D567EB" w:rsidRDefault="00D567EB" w:rsidP="00D567EB">
      <w:pPr>
        <w:pStyle w:val="NormalWeb"/>
        <w:tabs>
          <w:tab w:val="clear" w:pos="8640"/>
        </w:tabs>
      </w:pPr>
      <w:r>
        <w:tab/>
      </w:r>
      <w:r>
        <w:tab/>
      </w:r>
      <w:r>
        <w:tab/>
      </w:r>
      <w:r>
        <w:tab/>
      </w:r>
      <w:r>
        <w:tab/>
      </w:r>
      <w:r>
        <w:tab/>
        <w:t>Conference Board Ranking</w:t>
      </w:r>
      <w:r>
        <w:tab/>
      </w:r>
      <w:proofErr w:type="gramStart"/>
      <w:r>
        <w:t>Your</w:t>
      </w:r>
      <w:proofErr w:type="gramEnd"/>
      <w:r>
        <w:t xml:space="preserve"> Ranking </w:t>
      </w:r>
    </w:p>
    <w:tbl>
      <w:tblPr>
        <w:tblW w:w="10048" w:type="dxa"/>
        <w:tblLook w:val="01E0" w:firstRow="1" w:lastRow="1" w:firstColumn="1" w:lastColumn="1" w:noHBand="0" w:noVBand="0"/>
      </w:tblPr>
      <w:tblGrid>
        <w:gridCol w:w="4294"/>
        <w:gridCol w:w="1348"/>
        <w:gridCol w:w="1602"/>
        <w:gridCol w:w="1575"/>
        <w:gridCol w:w="1229"/>
      </w:tblGrid>
      <w:tr w:rsidR="00D567EB" w:rsidRPr="00DB0D9A" w14:paraId="2EC2F778" w14:textId="77777777" w:rsidTr="00D567EB">
        <w:tc>
          <w:tcPr>
            <w:tcW w:w="4338" w:type="dxa"/>
          </w:tcPr>
          <w:p w14:paraId="5992F093" w14:textId="77777777" w:rsidR="00D567EB" w:rsidRPr="00DB0D9A" w:rsidRDefault="00D567EB" w:rsidP="00D567EB">
            <w:pPr>
              <w:ind w:firstLine="0"/>
            </w:pPr>
            <w:r>
              <w:t>Challenges</w:t>
            </w:r>
            <w:r w:rsidRPr="00DB0D9A">
              <w:t xml:space="preserve"> </w:t>
            </w:r>
          </w:p>
        </w:tc>
        <w:tc>
          <w:tcPr>
            <w:tcW w:w="1350" w:type="dxa"/>
          </w:tcPr>
          <w:p w14:paraId="75242937" w14:textId="77777777" w:rsidR="00D567EB" w:rsidRPr="00DB0D9A" w:rsidRDefault="00D567EB" w:rsidP="00D567EB">
            <w:pPr>
              <w:ind w:firstLine="0"/>
            </w:pPr>
            <w:r>
              <w:t xml:space="preserve">Key challenges in the short term  </w:t>
            </w:r>
          </w:p>
        </w:tc>
        <w:tc>
          <w:tcPr>
            <w:tcW w:w="1609" w:type="dxa"/>
          </w:tcPr>
          <w:p w14:paraId="074E1FD1" w14:textId="77777777" w:rsidR="00D567EB" w:rsidRDefault="00D567EB" w:rsidP="00D567EB">
            <w:pPr>
              <w:ind w:firstLine="28"/>
            </w:pPr>
            <w:r>
              <w:t xml:space="preserve">Key challenges in the long term </w:t>
            </w:r>
          </w:p>
          <w:p w14:paraId="5B2739B7" w14:textId="77777777" w:rsidR="00D567EB" w:rsidRPr="00DB0D9A" w:rsidRDefault="00D567EB" w:rsidP="00D567EB">
            <w:pPr>
              <w:ind w:firstLine="28"/>
            </w:pPr>
          </w:p>
        </w:tc>
        <w:tc>
          <w:tcPr>
            <w:tcW w:w="1581" w:type="dxa"/>
          </w:tcPr>
          <w:p w14:paraId="0ADE0271" w14:textId="77777777" w:rsidR="00D567EB" w:rsidRPr="00DB0D9A" w:rsidRDefault="00D567EB" w:rsidP="00D567EB">
            <w:pPr>
              <w:ind w:hanging="14"/>
            </w:pPr>
            <w:r>
              <w:t xml:space="preserve">Key challenges in the short term  </w:t>
            </w:r>
          </w:p>
        </w:tc>
        <w:tc>
          <w:tcPr>
            <w:tcW w:w="1170" w:type="dxa"/>
          </w:tcPr>
          <w:p w14:paraId="02105E2E" w14:textId="77777777" w:rsidR="00D567EB" w:rsidRDefault="00D567EB" w:rsidP="00D567EB">
            <w:pPr>
              <w:ind w:firstLine="0"/>
            </w:pPr>
            <w:r>
              <w:t xml:space="preserve">Key challenges in the long term </w:t>
            </w:r>
          </w:p>
          <w:p w14:paraId="48F9B5DF" w14:textId="77777777" w:rsidR="00D567EB" w:rsidRPr="00DB0D9A" w:rsidRDefault="00D567EB" w:rsidP="00D567EB">
            <w:pPr>
              <w:ind w:firstLine="0"/>
            </w:pPr>
            <w:r>
              <w:t xml:space="preserve"> </w:t>
            </w:r>
          </w:p>
        </w:tc>
      </w:tr>
      <w:tr w:rsidR="00D567EB" w:rsidRPr="00DB0D9A" w14:paraId="653D22EA" w14:textId="77777777" w:rsidTr="00D567EB">
        <w:tc>
          <w:tcPr>
            <w:tcW w:w="4338" w:type="dxa"/>
            <w:vAlign w:val="bottom"/>
          </w:tcPr>
          <w:p w14:paraId="089C7DB4" w14:textId="77777777" w:rsidR="00D567EB" w:rsidRPr="00DB0D9A" w:rsidRDefault="00D567EB" w:rsidP="00D567EB">
            <w:pPr>
              <w:overflowPunct w:val="0"/>
              <w:autoSpaceDE w:val="0"/>
              <w:autoSpaceDN w:val="0"/>
              <w:adjustRightInd w:val="0"/>
              <w:ind w:firstLine="0"/>
              <w:textAlignment w:val="baseline"/>
              <w:rPr>
                <w:b/>
              </w:rPr>
            </w:pPr>
            <w:r w:rsidRPr="00DB0D9A">
              <w:t>1.</w:t>
            </w:r>
            <w:r>
              <w:t xml:space="preserve"> Leadership capability</w:t>
            </w:r>
          </w:p>
        </w:tc>
        <w:tc>
          <w:tcPr>
            <w:tcW w:w="1350" w:type="dxa"/>
          </w:tcPr>
          <w:p w14:paraId="768F2453" w14:textId="77777777" w:rsidR="00D567EB" w:rsidRPr="00DB0D9A" w:rsidRDefault="00D567EB" w:rsidP="00D567EB">
            <w:pPr>
              <w:overflowPunct w:val="0"/>
              <w:autoSpaceDE w:val="0"/>
              <w:autoSpaceDN w:val="0"/>
              <w:adjustRightInd w:val="0"/>
              <w:ind w:firstLine="0"/>
              <w:textAlignment w:val="baseline"/>
            </w:pPr>
            <w:r>
              <w:t>87(1)</w:t>
            </w:r>
          </w:p>
        </w:tc>
        <w:tc>
          <w:tcPr>
            <w:tcW w:w="1609" w:type="dxa"/>
          </w:tcPr>
          <w:p w14:paraId="6C717E5C" w14:textId="77777777" w:rsidR="00D567EB" w:rsidRPr="00DB0D9A" w:rsidRDefault="00D567EB" w:rsidP="00D567EB">
            <w:pPr>
              <w:overflowPunct w:val="0"/>
              <w:autoSpaceDE w:val="0"/>
              <w:autoSpaceDN w:val="0"/>
              <w:adjustRightInd w:val="0"/>
              <w:ind w:firstLine="28"/>
              <w:textAlignment w:val="baseline"/>
            </w:pPr>
            <w:r>
              <w:t>79(1)</w:t>
            </w:r>
          </w:p>
        </w:tc>
        <w:tc>
          <w:tcPr>
            <w:tcW w:w="1581" w:type="dxa"/>
          </w:tcPr>
          <w:p w14:paraId="59097326" w14:textId="77777777" w:rsidR="00D567EB" w:rsidRPr="00DB0D9A" w:rsidRDefault="00D567EB" w:rsidP="00D567EB">
            <w:pPr>
              <w:overflowPunct w:val="0"/>
              <w:autoSpaceDE w:val="0"/>
              <w:autoSpaceDN w:val="0"/>
              <w:adjustRightInd w:val="0"/>
              <w:ind w:hanging="14"/>
              <w:textAlignment w:val="baseline"/>
            </w:pPr>
            <w:r w:rsidRPr="00DB0D9A">
              <w:t>___</w:t>
            </w:r>
          </w:p>
        </w:tc>
        <w:tc>
          <w:tcPr>
            <w:tcW w:w="1170" w:type="dxa"/>
          </w:tcPr>
          <w:p w14:paraId="5A937004" w14:textId="77777777" w:rsidR="00D567EB" w:rsidRPr="00DB0D9A" w:rsidRDefault="00D567EB" w:rsidP="00D567EB">
            <w:pPr>
              <w:overflowPunct w:val="0"/>
              <w:autoSpaceDE w:val="0"/>
              <w:autoSpaceDN w:val="0"/>
              <w:adjustRightInd w:val="0"/>
              <w:ind w:firstLine="0"/>
              <w:textAlignment w:val="baseline"/>
            </w:pPr>
            <w:r w:rsidRPr="00DB0D9A">
              <w:t>___</w:t>
            </w:r>
          </w:p>
        </w:tc>
      </w:tr>
      <w:tr w:rsidR="00D567EB" w:rsidRPr="00DB0D9A" w14:paraId="6E07A9CC" w14:textId="77777777" w:rsidTr="00D567EB">
        <w:tc>
          <w:tcPr>
            <w:tcW w:w="4338" w:type="dxa"/>
            <w:vAlign w:val="bottom"/>
          </w:tcPr>
          <w:p w14:paraId="75716690" w14:textId="77777777" w:rsidR="00D567EB" w:rsidRPr="00DB0D9A" w:rsidRDefault="00D567EB" w:rsidP="00D567EB">
            <w:pPr>
              <w:overflowPunct w:val="0"/>
              <w:autoSpaceDE w:val="0"/>
              <w:autoSpaceDN w:val="0"/>
              <w:adjustRightInd w:val="0"/>
              <w:ind w:firstLine="0"/>
              <w:textAlignment w:val="baseline"/>
              <w:rPr>
                <w:b/>
              </w:rPr>
            </w:pPr>
            <w:r w:rsidRPr="00DB0D9A">
              <w:t>2.</w:t>
            </w:r>
            <w:r>
              <w:t>Employee engagement</w:t>
            </w:r>
          </w:p>
        </w:tc>
        <w:tc>
          <w:tcPr>
            <w:tcW w:w="1350" w:type="dxa"/>
          </w:tcPr>
          <w:p w14:paraId="1A78904F" w14:textId="77777777" w:rsidR="00D567EB" w:rsidRPr="00DB0D9A" w:rsidRDefault="00D567EB" w:rsidP="00D567EB">
            <w:pPr>
              <w:overflowPunct w:val="0"/>
              <w:autoSpaceDE w:val="0"/>
              <w:autoSpaceDN w:val="0"/>
              <w:adjustRightInd w:val="0"/>
              <w:ind w:firstLine="0"/>
              <w:textAlignment w:val="baseline"/>
            </w:pPr>
            <w:r>
              <w:t>63(2)</w:t>
            </w:r>
          </w:p>
        </w:tc>
        <w:tc>
          <w:tcPr>
            <w:tcW w:w="1609" w:type="dxa"/>
          </w:tcPr>
          <w:p w14:paraId="1E44F30E" w14:textId="77777777" w:rsidR="00D567EB" w:rsidRPr="00DB0D9A" w:rsidRDefault="00D567EB" w:rsidP="00D567EB">
            <w:pPr>
              <w:overflowPunct w:val="0"/>
              <w:autoSpaceDE w:val="0"/>
              <w:autoSpaceDN w:val="0"/>
              <w:adjustRightInd w:val="0"/>
              <w:ind w:firstLine="28"/>
              <w:textAlignment w:val="baseline"/>
            </w:pPr>
            <w:r>
              <w:t>34(4)</w:t>
            </w:r>
          </w:p>
        </w:tc>
        <w:tc>
          <w:tcPr>
            <w:tcW w:w="1581" w:type="dxa"/>
          </w:tcPr>
          <w:p w14:paraId="562D1715" w14:textId="77777777" w:rsidR="00D567EB" w:rsidRPr="00DB0D9A" w:rsidRDefault="00D567EB" w:rsidP="00D567EB">
            <w:pPr>
              <w:overflowPunct w:val="0"/>
              <w:autoSpaceDE w:val="0"/>
              <w:autoSpaceDN w:val="0"/>
              <w:adjustRightInd w:val="0"/>
              <w:ind w:hanging="14"/>
              <w:textAlignment w:val="baseline"/>
            </w:pPr>
            <w:r w:rsidRPr="00DB0D9A">
              <w:t>___</w:t>
            </w:r>
          </w:p>
        </w:tc>
        <w:tc>
          <w:tcPr>
            <w:tcW w:w="1170" w:type="dxa"/>
          </w:tcPr>
          <w:p w14:paraId="1ADB66E9" w14:textId="77777777" w:rsidR="00D567EB" w:rsidRPr="00DB0D9A" w:rsidRDefault="00D567EB" w:rsidP="00D567EB">
            <w:pPr>
              <w:overflowPunct w:val="0"/>
              <w:autoSpaceDE w:val="0"/>
              <w:autoSpaceDN w:val="0"/>
              <w:adjustRightInd w:val="0"/>
              <w:ind w:firstLine="0"/>
              <w:textAlignment w:val="baseline"/>
            </w:pPr>
            <w:r w:rsidRPr="00DB0D9A">
              <w:t>___</w:t>
            </w:r>
          </w:p>
        </w:tc>
      </w:tr>
      <w:tr w:rsidR="00D567EB" w:rsidRPr="00DB0D9A" w14:paraId="65A499DA" w14:textId="77777777" w:rsidTr="00D567EB">
        <w:tc>
          <w:tcPr>
            <w:tcW w:w="4338" w:type="dxa"/>
            <w:vAlign w:val="bottom"/>
          </w:tcPr>
          <w:p w14:paraId="3709D6F2" w14:textId="77777777" w:rsidR="00D567EB" w:rsidRPr="00DB0D9A" w:rsidRDefault="00D567EB" w:rsidP="00D567EB">
            <w:pPr>
              <w:overflowPunct w:val="0"/>
              <w:autoSpaceDE w:val="0"/>
              <w:autoSpaceDN w:val="0"/>
              <w:adjustRightInd w:val="0"/>
              <w:ind w:firstLine="0"/>
              <w:textAlignment w:val="baseline"/>
              <w:rPr>
                <w:b/>
                <w:color w:val="000000"/>
              </w:rPr>
            </w:pPr>
            <w:r w:rsidRPr="00DB0D9A">
              <w:rPr>
                <w:color w:val="000000"/>
              </w:rPr>
              <w:t>3.</w:t>
            </w:r>
            <w:r>
              <w:rPr>
                <w:color w:val="000000"/>
              </w:rPr>
              <w:t>Skills shortage</w:t>
            </w:r>
          </w:p>
        </w:tc>
        <w:tc>
          <w:tcPr>
            <w:tcW w:w="1350" w:type="dxa"/>
          </w:tcPr>
          <w:p w14:paraId="0F87C1AE" w14:textId="77777777" w:rsidR="00D567EB" w:rsidRPr="00DB0D9A" w:rsidRDefault="00D567EB" w:rsidP="00D567EB">
            <w:pPr>
              <w:overflowPunct w:val="0"/>
              <w:autoSpaceDE w:val="0"/>
              <w:autoSpaceDN w:val="0"/>
              <w:adjustRightInd w:val="0"/>
              <w:ind w:firstLine="0"/>
              <w:textAlignment w:val="baseline"/>
              <w:rPr>
                <w:color w:val="000000"/>
              </w:rPr>
            </w:pPr>
            <w:r>
              <w:rPr>
                <w:color w:val="000000"/>
              </w:rPr>
              <w:t>45(3)</w:t>
            </w:r>
          </w:p>
        </w:tc>
        <w:tc>
          <w:tcPr>
            <w:tcW w:w="1609" w:type="dxa"/>
          </w:tcPr>
          <w:p w14:paraId="661DF9CA" w14:textId="77777777" w:rsidR="00D567EB" w:rsidRPr="00DB0D9A" w:rsidRDefault="00D567EB" w:rsidP="00D567EB">
            <w:pPr>
              <w:overflowPunct w:val="0"/>
              <w:autoSpaceDE w:val="0"/>
              <w:autoSpaceDN w:val="0"/>
              <w:adjustRightInd w:val="0"/>
              <w:ind w:firstLine="28"/>
              <w:textAlignment w:val="baseline"/>
              <w:rPr>
                <w:color w:val="000000"/>
              </w:rPr>
            </w:pPr>
            <w:r>
              <w:rPr>
                <w:color w:val="000000"/>
              </w:rPr>
              <w:t>56(3)</w:t>
            </w:r>
          </w:p>
        </w:tc>
        <w:tc>
          <w:tcPr>
            <w:tcW w:w="1581" w:type="dxa"/>
          </w:tcPr>
          <w:p w14:paraId="2704A276" w14:textId="77777777" w:rsidR="00D567EB" w:rsidRPr="00DB0D9A" w:rsidRDefault="00D567EB" w:rsidP="00D567EB">
            <w:pPr>
              <w:overflowPunct w:val="0"/>
              <w:autoSpaceDE w:val="0"/>
              <w:autoSpaceDN w:val="0"/>
              <w:adjustRightInd w:val="0"/>
              <w:ind w:hanging="14"/>
              <w:textAlignment w:val="baseline"/>
              <w:rPr>
                <w:color w:val="000000"/>
              </w:rPr>
            </w:pPr>
            <w:r w:rsidRPr="00DB0D9A">
              <w:rPr>
                <w:color w:val="000000"/>
              </w:rPr>
              <w:t>___</w:t>
            </w:r>
          </w:p>
        </w:tc>
        <w:tc>
          <w:tcPr>
            <w:tcW w:w="1170" w:type="dxa"/>
          </w:tcPr>
          <w:p w14:paraId="77D947CE" w14:textId="77777777" w:rsidR="00D567EB" w:rsidRPr="00DB0D9A" w:rsidRDefault="00D567EB" w:rsidP="00D567EB">
            <w:pPr>
              <w:overflowPunct w:val="0"/>
              <w:autoSpaceDE w:val="0"/>
              <w:autoSpaceDN w:val="0"/>
              <w:adjustRightInd w:val="0"/>
              <w:ind w:firstLine="0"/>
              <w:textAlignment w:val="baseline"/>
              <w:rPr>
                <w:color w:val="000000"/>
              </w:rPr>
            </w:pPr>
            <w:r w:rsidRPr="00DB0D9A">
              <w:rPr>
                <w:color w:val="000000"/>
              </w:rPr>
              <w:t>___</w:t>
            </w:r>
          </w:p>
        </w:tc>
      </w:tr>
      <w:tr w:rsidR="00D567EB" w:rsidRPr="00DB0D9A" w14:paraId="27BE8540" w14:textId="77777777" w:rsidTr="00D567EB">
        <w:tc>
          <w:tcPr>
            <w:tcW w:w="4338" w:type="dxa"/>
            <w:vAlign w:val="bottom"/>
          </w:tcPr>
          <w:p w14:paraId="76AF2F50" w14:textId="77777777" w:rsidR="00D567EB" w:rsidRPr="00DB0D9A" w:rsidRDefault="00D567EB" w:rsidP="00D567EB">
            <w:pPr>
              <w:overflowPunct w:val="0"/>
              <w:autoSpaceDE w:val="0"/>
              <w:autoSpaceDN w:val="0"/>
              <w:adjustRightInd w:val="0"/>
              <w:ind w:firstLine="0"/>
              <w:textAlignment w:val="baseline"/>
              <w:rPr>
                <w:b/>
                <w:color w:val="000000"/>
              </w:rPr>
            </w:pPr>
            <w:r w:rsidRPr="00DB0D9A">
              <w:rPr>
                <w:color w:val="000000"/>
              </w:rPr>
              <w:t xml:space="preserve">4. </w:t>
            </w:r>
            <w:r>
              <w:rPr>
                <w:color w:val="000000"/>
              </w:rPr>
              <w:t>Capacity to respond to change</w:t>
            </w:r>
          </w:p>
        </w:tc>
        <w:tc>
          <w:tcPr>
            <w:tcW w:w="1350" w:type="dxa"/>
          </w:tcPr>
          <w:p w14:paraId="39B6F837" w14:textId="77777777" w:rsidR="00D567EB" w:rsidRPr="00DB0D9A" w:rsidRDefault="00D567EB" w:rsidP="00D567EB">
            <w:pPr>
              <w:overflowPunct w:val="0"/>
              <w:autoSpaceDE w:val="0"/>
              <w:autoSpaceDN w:val="0"/>
              <w:adjustRightInd w:val="0"/>
              <w:ind w:firstLine="0"/>
              <w:textAlignment w:val="baseline"/>
              <w:rPr>
                <w:color w:val="000000"/>
              </w:rPr>
            </w:pPr>
            <w:r>
              <w:rPr>
                <w:color w:val="000000"/>
              </w:rPr>
              <w:t>44(4)</w:t>
            </w:r>
          </w:p>
        </w:tc>
        <w:tc>
          <w:tcPr>
            <w:tcW w:w="1609" w:type="dxa"/>
          </w:tcPr>
          <w:p w14:paraId="3B5D1C0A" w14:textId="77777777" w:rsidR="00D567EB" w:rsidRPr="00DB0D9A" w:rsidRDefault="00D567EB" w:rsidP="00D567EB">
            <w:pPr>
              <w:overflowPunct w:val="0"/>
              <w:autoSpaceDE w:val="0"/>
              <w:autoSpaceDN w:val="0"/>
              <w:adjustRightInd w:val="0"/>
              <w:ind w:firstLine="28"/>
              <w:textAlignment w:val="baseline"/>
              <w:rPr>
                <w:color w:val="000000"/>
              </w:rPr>
            </w:pPr>
            <w:r>
              <w:rPr>
                <w:color w:val="000000"/>
              </w:rPr>
              <w:t>30(6)</w:t>
            </w:r>
          </w:p>
        </w:tc>
        <w:tc>
          <w:tcPr>
            <w:tcW w:w="1581" w:type="dxa"/>
          </w:tcPr>
          <w:p w14:paraId="7E097F19" w14:textId="77777777" w:rsidR="00D567EB" w:rsidRPr="00DB0D9A" w:rsidRDefault="00D567EB" w:rsidP="00D567EB">
            <w:pPr>
              <w:overflowPunct w:val="0"/>
              <w:autoSpaceDE w:val="0"/>
              <w:autoSpaceDN w:val="0"/>
              <w:adjustRightInd w:val="0"/>
              <w:ind w:hanging="14"/>
              <w:textAlignment w:val="baseline"/>
              <w:rPr>
                <w:color w:val="000000"/>
              </w:rPr>
            </w:pPr>
            <w:r w:rsidRPr="00DB0D9A">
              <w:rPr>
                <w:color w:val="000000"/>
              </w:rPr>
              <w:t>___</w:t>
            </w:r>
          </w:p>
        </w:tc>
        <w:tc>
          <w:tcPr>
            <w:tcW w:w="1170" w:type="dxa"/>
          </w:tcPr>
          <w:p w14:paraId="4D5DEF9F" w14:textId="77777777" w:rsidR="00D567EB" w:rsidRPr="00DB0D9A" w:rsidRDefault="00D567EB" w:rsidP="00D567EB">
            <w:pPr>
              <w:overflowPunct w:val="0"/>
              <w:autoSpaceDE w:val="0"/>
              <w:autoSpaceDN w:val="0"/>
              <w:adjustRightInd w:val="0"/>
              <w:ind w:firstLine="0"/>
              <w:textAlignment w:val="baseline"/>
              <w:rPr>
                <w:color w:val="000000"/>
              </w:rPr>
            </w:pPr>
            <w:r w:rsidRPr="00DB0D9A">
              <w:rPr>
                <w:color w:val="000000"/>
              </w:rPr>
              <w:t>___</w:t>
            </w:r>
          </w:p>
        </w:tc>
      </w:tr>
      <w:tr w:rsidR="00D567EB" w:rsidRPr="00DB0D9A" w14:paraId="2CF620BC" w14:textId="77777777" w:rsidTr="00D567EB">
        <w:tc>
          <w:tcPr>
            <w:tcW w:w="4338" w:type="dxa"/>
            <w:vAlign w:val="bottom"/>
          </w:tcPr>
          <w:p w14:paraId="530A9D99" w14:textId="77777777" w:rsidR="00D567EB" w:rsidRPr="00DB0D9A" w:rsidRDefault="00D567EB" w:rsidP="00D567EB">
            <w:pPr>
              <w:overflowPunct w:val="0"/>
              <w:autoSpaceDE w:val="0"/>
              <w:autoSpaceDN w:val="0"/>
              <w:adjustRightInd w:val="0"/>
              <w:ind w:firstLine="0"/>
              <w:textAlignment w:val="baseline"/>
              <w:rPr>
                <w:b/>
                <w:color w:val="000000"/>
              </w:rPr>
            </w:pPr>
            <w:r w:rsidRPr="00DB0D9A">
              <w:rPr>
                <w:color w:val="000000"/>
              </w:rPr>
              <w:t xml:space="preserve">5. </w:t>
            </w:r>
            <w:r>
              <w:rPr>
                <w:color w:val="000000"/>
              </w:rPr>
              <w:t>Productivity improvement</w:t>
            </w:r>
          </w:p>
        </w:tc>
        <w:tc>
          <w:tcPr>
            <w:tcW w:w="1350" w:type="dxa"/>
          </w:tcPr>
          <w:p w14:paraId="594CDD02" w14:textId="77777777" w:rsidR="00D567EB" w:rsidRPr="00DB0D9A" w:rsidRDefault="00D567EB" w:rsidP="00D567EB">
            <w:pPr>
              <w:overflowPunct w:val="0"/>
              <w:autoSpaceDE w:val="0"/>
              <w:autoSpaceDN w:val="0"/>
              <w:adjustRightInd w:val="0"/>
              <w:ind w:firstLine="0"/>
              <w:textAlignment w:val="baseline"/>
              <w:rPr>
                <w:color w:val="000000"/>
              </w:rPr>
            </w:pPr>
            <w:r>
              <w:rPr>
                <w:color w:val="000000"/>
              </w:rPr>
              <w:t>39(5)</w:t>
            </w:r>
          </w:p>
        </w:tc>
        <w:tc>
          <w:tcPr>
            <w:tcW w:w="1609" w:type="dxa"/>
          </w:tcPr>
          <w:p w14:paraId="74C77B2D" w14:textId="77777777" w:rsidR="00D567EB" w:rsidRPr="00DB0D9A" w:rsidRDefault="00D567EB" w:rsidP="00D567EB">
            <w:pPr>
              <w:overflowPunct w:val="0"/>
              <w:autoSpaceDE w:val="0"/>
              <w:autoSpaceDN w:val="0"/>
              <w:adjustRightInd w:val="0"/>
              <w:ind w:firstLine="28"/>
              <w:textAlignment w:val="baseline"/>
              <w:rPr>
                <w:color w:val="000000"/>
              </w:rPr>
            </w:pPr>
            <w:r>
              <w:rPr>
                <w:color w:val="000000"/>
              </w:rPr>
              <w:t>30(7)</w:t>
            </w:r>
          </w:p>
        </w:tc>
        <w:tc>
          <w:tcPr>
            <w:tcW w:w="1581" w:type="dxa"/>
          </w:tcPr>
          <w:p w14:paraId="23CD6B4E" w14:textId="77777777" w:rsidR="00D567EB" w:rsidRPr="00DB0D9A" w:rsidRDefault="00D567EB" w:rsidP="00D567EB">
            <w:pPr>
              <w:overflowPunct w:val="0"/>
              <w:autoSpaceDE w:val="0"/>
              <w:autoSpaceDN w:val="0"/>
              <w:adjustRightInd w:val="0"/>
              <w:ind w:hanging="14"/>
              <w:textAlignment w:val="baseline"/>
              <w:rPr>
                <w:color w:val="000000"/>
              </w:rPr>
            </w:pPr>
            <w:r w:rsidRPr="00DB0D9A">
              <w:rPr>
                <w:color w:val="000000"/>
              </w:rPr>
              <w:t>___</w:t>
            </w:r>
          </w:p>
        </w:tc>
        <w:tc>
          <w:tcPr>
            <w:tcW w:w="1170" w:type="dxa"/>
          </w:tcPr>
          <w:p w14:paraId="1A9A4FDA" w14:textId="77777777" w:rsidR="00D567EB" w:rsidRPr="00DB0D9A" w:rsidRDefault="00D567EB" w:rsidP="00D567EB">
            <w:pPr>
              <w:overflowPunct w:val="0"/>
              <w:autoSpaceDE w:val="0"/>
              <w:autoSpaceDN w:val="0"/>
              <w:adjustRightInd w:val="0"/>
              <w:ind w:firstLine="0"/>
              <w:textAlignment w:val="baseline"/>
              <w:rPr>
                <w:color w:val="000000"/>
              </w:rPr>
            </w:pPr>
            <w:r w:rsidRPr="00DB0D9A">
              <w:rPr>
                <w:color w:val="000000"/>
              </w:rPr>
              <w:t>___</w:t>
            </w:r>
          </w:p>
        </w:tc>
      </w:tr>
      <w:tr w:rsidR="00D567EB" w:rsidRPr="00DB0D9A" w14:paraId="54BC6B62" w14:textId="77777777" w:rsidTr="00D567EB">
        <w:tc>
          <w:tcPr>
            <w:tcW w:w="4338" w:type="dxa"/>
            <w:vAlign w:val="bottom"/>
          </w:tcPr>
          <w:p w14:paraId="79528B29" w14:textId="77777777" w:rsidR="00D567EB" w:rsidRPr="00DB0D9A" w:rsidRDefault="00D567EB" w:rsidP="00D567EB">
            <w:pPr>
              <w:overflowPunct w:val="0"/>
              <w:autoSpaceDE w:val="0"/>
              <w:autoSpaceDN w:val="0"/>
              <w:adjustRightInd w:val="0"/>
              <w:ind w:firstLine="0"/>
              <w:textAlignment w:val="baseline"/>
              <w:rPr>
                <w:b/>
                <w:color w:val="000000"/>
              </w:rPr>
            </w:pPr>
            <w:r w:rsidRPr="00DB0D9A">
              <w:rPr>
                <w:color w:val="000000"/>
              </w:rPr>
              <w:t xml:space="preserve">6. </w:t>
            </w:r>
            <w:r>
              <w:rPr>
                <w:color w:val="000000"/>
              </w:rPr>
              <w:t>Aging workforce</w:t>
            </w:r>
          </w:p>
        </w:tc>
        <w:tc>
          <w:tcPr>
            <w:tcW w:w="1350" w:type="dxa"/>
          </w:tcPr>
          <w:p w14:paraId="6EB18CF1" w14:textId="77777777" w:rsidR="00D567EB" w:rsidRPr="00DB0D9A" w:rsidRDefault="00D567EB" w:rsidP="00D567EB">
            <w:pPr>
              <w:overflowPunct w:val="0"/>
              <w:autoSpaceDE w:val="0"/>
              <w:autoSpaceDN w:val="0"/>
              <w:adjustRightInd w:val="0"/>
              <w:ind w:firstLine="0"/>
              <w:textAlignment w:val="baseline"/>
              <w:rPr>
                <w:color w:val="000000"/>
              </w:rPr>
            </w:pPr>
            <w:r>
              <w:rPr>
                <w:color w:val="000000"/>
              </w:rPr>
              <w:t>38(6)</w:t>
            </w:r>
          </w:p>
        </w:tc>
        <w:tc>
          <w:tcPr>
            <w:tcW w:w="1609" w:type="dxa"/>
          </w:tcPr>
          <w:p w14:paraId="2C78ECDE" w14:textId="77777777" w:rsidR="00D567EB" w:rsidRPr="00DB0D9A" w:rsidRDefault="00D567EB" w:rsidP="00D567EB">
            <w:pPr>
              <w:overflowPunct w:val="0"/>
              <w:autoSpaceDE w:val="0"/>
              <w:autoSpaceDN w:val="0"/>
              <w:adjustRightInd w:val="0"/>
              <w:ind w:firstLine="28"/>
              <w:textAlignment w:val="baseline"/>
              <w:rPr>
                <w:color w:val="000000"/>
              </w:rPr>
            </w:pPr>
            <w:r>
              <w:rPr>
                <w:color w:val="000000"/>
              </w:rPr>
              <w:t>78(2)</w:t>
            </w:r>
          </w:p>
        </w:tc>
        <w:tc>
          <w:tcPr>
            <w:tcW w:w="1581" w:type="dxa"/>
          </w:tcPr>
          <w:p w14:paraId="3623C91B" w14:textId="77777777" w:rsidR="00D567EB" w:rsidRPr="00DB0D9A" w:rsidRDefault="00D567EB" w:rsidP="00D567EB">
            <w:pPr>
              <w:overflowPunct w:val="0"/>
              <w:autoSpaceDE w:val="0"/>
              <w:autoSpaceDN w:val="0"/>
              <w:adjustRightInd w:val="0"/>
              <w:ind w:hanging="14"/>
              <w:textAlignment w:val="baseline"/>
              <w:rPr>
                <w:color w:val="000000"/>
              </w:rPr>
            </w:pPr>
            <w:r w:rsidRPr="00DB0D9A">
              <w:rPr>
                <w:color w:val="000000"/>
              </w:rPr>
              <w:t>___</w:t>
            </w:r>
          </w:p>
        </w:tc>
        <w:tc>
          <w:tcPr>
            <w:tcW w:w="1170" w:type="dxa"/>
          </w:tcPr>
          <w:p w14:paraId="15E6DD17" w14:textId="77777777" w:rsidR="00D567EB" w:rsidRPr="00DB0D9A" w:rsidRDefault="00D567EB" w:rsidP="00D567EB">
            <w:pPr>
              <w:overflowPunct w:val="0"/>
              <w:autoSpaceDE w:val="0"/>
              <w:autoSpaceDN w:val="0"/>
              <w:adjustRightInd w:val="0"/>
              <w:ind w:firstLine="0"/>
              <w:textAlignment w:val="baseline"/>
              <w:rPr>
                <w:color w:val="000000"/>
              </w:rPr>
            </w:pPr>
            <w:r w:rsidRPr="00DB0D9A">
              <w:rPr>
                <w:color w:val="000000"/>
              </w:rPr>
              <w:t>___</w:t>
            </w:r>
          </w:p>
        </w:tc>
      </w:tr>
      <w:tr w:rsidR="00D567EB" w:rsidRPr="00DB0D9A" w14:paraId="3F3843D0" w14:textId="77777777" w:rsidTr="00D567EB">
        <w:tc>
          <w:tcPr>
            <w:tcW w:w="4338" w:type="dxa"/>
            <w:vAlign w:val="bottom"/>
          </w:tcPr>
          <w:p w14:paraId="5B707900" w14:textId="77777777" w:rsidR="00D567EB" w:rsidRPr="00DB0D9A" w:rsidRDefault="00D567EB" w:rsidP="00D567EB">
            <w:pPr>
              <w:overflowPunct w:val="0"/>
              <w:autoSpaceDE w:val="0"/>
              <w:autoSpaceDN w:val="0"/>
              <w:adjustRightInd w:val="0"/>
              <w:ind w:firstLine="0"/>
              <w:textAlignment w:val="baseline"/>
              <w:rPr>
                <w:b/>
                <w:color w:val="000000"/>
              </w:rPr>
            </w:pPr>
            <w:r w:rsidRPr="00DB0D9A">
              <w:rPr>
                <w:color w:val="000000"/>
              </w:rPr>
              <w:t xml:space="preserve">7. </w:t>
            </w:r>
            <w:r>
              <w:rPr>
                <w:color w:val="000000"/>
              </w:rPr>
              <w:t>Structural change</w:t>
            </w:r>
          </w:p>
        </w:tc>
        <w:tc>
          <w:tcPr>
            <w:tcW w:w="1350" w:type="dxa"/>
          </w:tcPr>
          <w:p w14:paraId="04DECC25" w14:textId="77777777" w:rsidR="00D567EB" w:rsidRPr="00DB0D9A" w:rsidRDefault="00D567EB" w:rsidP="00D567EB">
            <w:pPr>
              <w:overflowPunct w:val="0"/>
              <w:autoSpaceDE w:val="0"/>
              <w:autoSpaceDN w:val="0"/>
              <w:adjustRightInd w:val="0"/>
              <w:ind w:firstLine="0"/>
              <w:textAlignment w:val="baseline"/>
              <w:rPr>
                <w:color w:val="000000"/>
              </w:rPr>
            </w:pPr>
            <w:r>
              <w:rPr>
                <w:color w:val="000000"/>
              </w:rPr>
              <w:t>30(7)</w:t>
            </w:r>
          </w:p>
        </w:tc>
        <w:tc>
          <w:tcPr>
            <w:tcW w:w="1609" w:type="dxa"/>
          </w:tcPr>
          <w:p w14:paraId="724A646E" w14:textId="77777777" w:rsidR="00D567EB" w:rsidRPr="00DB0D9A" w:rsidRDefault="00D567EB" w:rsidP="00D567EB">
            <w:pPr>
              <w:overflowPunct w:val="0"/>
              <w:autoSpaceDE w:val="0"/>
              <w:autoSpaceDN w:val="0"/>
              <w:adjustRightInd w:val="0"/>
              <w:ind w:firstLine="28"/>
              <w:textAlignment w:val="baseline"/>
              <w:rPr>
                <w:color w:val="000000"/>
              </w:rPr>
            </w:pPr>
            <w:r>
              <w:rPr>
                <w:color w:val="000000"/>
              </w:rPr>
              <w:t>31(5)</w:t>
            </w:r>
          </w:p>
        </w:tc>
        <w:tc>
          <w:tcPr>
            <w:tcW w:w="1581" w:type="dxa"/>
          </w:tcPr>
          <w:p w14:paraId="2AFBCA9F" w14:textId="77777777" w:rsidR="00D567EB" w:rsidRPr="00DB0D9A" w:rsidRDefault="00D567EB" w:rsidP="00D567EB">
            <w:pPr>
              <w:overflowPunct w:val="0"/>
              <w:autoSpaceDE w:val="0"/>
              <w:autoSpaceDN w:val="0"/>
              <w:adjustRightInd w:val="0"/>
              <w:ind w:hanging="14"/>
              <w:textAlignment w:val="baseline"/>
              <w:rPr>
                <w:color w:val="000000"/>
              </w:rPr>
            </w:pPr>
            <w:r w:rsidRPr="00DB0D9A">
              <w:rPr>
                <w:color w:val="000000"/>
              </w:rPr>
              <w:t>___</w:t>
            </w:r>
          </w:p>
        </w:tc>
        <w:tc>
          <w:tcPr>
            <w:tcW w:w="1170" w:type="dxa"/>
          </w:tcPr>
          <w:p w14:paraId="1898F694" w14:textId="77777777" w:rsidR="00D567EB" w:rsidRPr="00DB0D9A" w:rsidRDefault="00D567EB" w:rsidP="00D567EB">
            <w:pPr>
              <w:overflowPunct w:val="0"/>
              <w:autoSpaceDE w:val="0"/>
              <w:autoSpaceDN w:val="0"/>
              <w:adjustRightInd w:val="0"/>
              <w:ind w:firstLine="0"/>
              <w:textAlignment w:val="baseline"/>
              <w:rPr>
                <w:color w:val="000000"/>
              </w:rPr>
            </w:pPr>
            <w:r w:rsidRPr="00DB0D9A">
              <w:rPr>
                <w:color w:val="000000"/>
              </w:rPr>
              <w:t>___</w:t>
            </w:r>
          </w:p>
        </w:tc>
      </w:tr>
      <w:tr w:rsidR="00D567EB" w:rsidRPr="00DB0D9A" w14:paraId="2973FF21" w14:textId="77777777" w:rsidTr="00D567EB">
        <w:tc>
          <w:tcPr>
            <w:tcW w:w="4338" w:type="dxa"/>
            <w:vAlign w:val="bottom"/>
          </w:tcPr>
          <w:p w14:paraId="6C8E574E" w14:textId="77777777" w:rsidR="00D567EB" w:rsidRPr="00DB0D9A" w:rsidRDefault="00D567EB" w:rsidP="00D567EB">
            <w:pPr>
              <w:overflowPunct w:val="0"/>
              <w:autoSpaceDE w:val="0"/>
              <w:autoSpaceDN w:val="0"/>
              <w:adjustRightInd w:val="0"/>
              <w:ind w:firstLine="0"/>
              <w:textAlignment w:val="baseline"/>
              <w:rPr>
                <w:b/>
                <w:color w:val="000000"/>
              </w:rPr>
            </w:pPr>
            <w:r w:rsidRPr="00DB0D9A">
              <w:rPr>
                <w:color w:val="000000"/>
              </w:rPr>
              <w:t xml:space="preserve">8. </w:t>
            </w:r>
            <w:r>
              <w:rPr>
                <w:color w:val="000000"/>
              </w:rPr>
              <w:t>Labour cost containment</w:t>
            </w:r>
            <w:r w:rsidRPr="00DB0D9A">
              <w:rPr>
                <w:color w:val="000000"/>
              </w:rPr>
              <w:t xml:space="preserve"> </w:t>
            </w:r>
          </w:p>
        </w:tc>
        <w:tc>
          <w:tcPr>
            <w:tcW w:w="1350" w:type="dxa"/>
          </w:tcPr>
          <w:p w14:paraId="2BB835E3" w14:textId="77777777" w:rsidR="00D567EB" w:rsidRPr="00DB0D9A" w:rsidRDefault="00D567EB" w:rsidP="00D567EB">
            <w:pPr>
              <w:overflowPunct w:val="0"/>
              <w:autoSpaceDE w:val="0"/>
              <w:autoSpaceDN w:val="0"/>
              <w:adjustRightInd w:val="0"/>
              <w:ind w:firstLine="0"/>
              <w:textAlignment w:val="baseline"/>
              <w:rPr>
                <w:color w:val="000000"/>
              </w:rPr>
            </w:pPr>
            <w:r>
              <w:rPr>
                <w:color w:val="000000"/>
              </w:rPr>
              <w:t>28(8)</w:t>
            </w:r>
          </w:p>
        </w:tc>
        <w:tc>
          <w:tcPr>
            <w:tcW w:w="1609" w:type="dxa"/>
          </w:tcPr>
          <w:p w14:paraId="54F80454" w14:textId="77777777" w:rsidR="00D567EB" w:rsidRPr="00DB0D9A" w:rsidRDefault="00D567EB" w:rsidP="00D567EB">
            <w:pPr>
              <w:overflowPunct w:val="0"/>
              <w:autoSpaceDE w:val="0"/>
              <w:autoSpaceDN w:val="0"/>
              <w:adjustRightInd w:val="0"/>
              <w:ind w:firstLine="28"/>
              <w:textAlignment w:val="baseline"/>
              <w:rPr>
                <w:color w:val="000000"/>
              </w:rPr>
            </w:pPr>
            <w:r>
              <w:rPr>
                <w:color w:val="000000"/>
              </w:rPr>
              <w:t>20(11)</w:t>
            </w:r>
          </w:p>
        </w:tc>
        <w:tc>
          <w:tcPr>
            <w:tcW w:w="1581" w:type="dxa"/>
          </w:tcPr>
          <w:p w14:paraId="49CAF391" w14:textId="77777777" w:rsidR="00D567EB" w:rsidRPr="00DB0D9A" w:rsidRDefault="00D567EB" w:rsidP="00D567EB">
            <w:pPr>
              <w:overflowPunct w:val="0"/>
              <w:autoSpaceDE w:val="0"/>
              <w:autoSpaceDN w:val="0"/>
              <w:adjustRightInd w:val="0"/>
              <w:ind w:hanging="14"/>
              <w:textAlignment w:val="baseline"/>
              <w:rPr>
                <w:color w:val="000000"/>
              </w:rPr>
            </w:pPr>
            <w:r w:rsidRPr="00DB0D9A">
              <w:rPr>
                <w:color w:val="000000"/>
              </w:rPr>
              <w:t>___</w:t>
            </w:r>
          </w:p>
        </w:tc>
        <w:tc>
          <w:tcPr>
            <w:tcW w:w="1170" w:type="dxa"/>
          </w:tcPr>
          <w:p w14:paraId="09EECE7B" w14:textId="77777777" w:rsidR="00D567EB" w:rsidRPr="00DB0D9A" w:rsidRDefault="00D567EB" w:rsidP="00D567EB">
            <w:pPr>
              <w:overflowPunct w:val="0"/>
              <w:autoSpaceDE w:val="0"/>
              <w:autoSpaceDN w:val="0"/>
              <w:adjustRightInd w:val="0"/>
              <w:ind w:firstLine="0"/>
              <w:textAlignment w:val="baseline"/>
              <w:rPr>
                <w:color w:val="000000"/>
              </w:rPr>
            </w:pPr>
            <w:r w:rsidRPr="00DB0D9A">
              <w:rPr>
                <w:color w:val="000000"/>
              </w:rPr>
              <w:t>___</w:t>
            </w:r>
          </w:p>
        </w:tc>
      </w:tr>
      <w:tr w:rsidR="00D567EB" w:rsidRPr="00DB0D9A" w14:paraId="4510DB10" w14:textId="77777777" w:rsidTr="00D567EB">
        <w:tc>
          <w:tcPr>
            <w:tcW w:w="4338" w:type="dxa"/>
            <w:vAlign w:val="bottom"/>
          </w:tcPr>
          <w:p w14:paraId="620F628A" w14:textId="77777777" w:rsidR="00D567EB" w:rsidRPr="00DB0D9A" w:rsidRDefault="00D567EB" w:rsidP="00D567EB">
            <w:pPr>
              <w:overflowPunct w:val="0"/>
              <w:autoSpaceDE w:val="0"/>
              <w:autoSpaceDN w:val="0"/>
              <w:adjustRightInd w:val="0"/>
              <w:ind w:firstLine="0"/>
              <w:textAlignment w:val="baseline"/>
              <w:rPr>
                <w:b/>
              </w:rPr>
            </w:pPr>
            <w:r w:rsidRPr="00DB0D9A">
              <w:t xml:space="preserve">9. </w:t>
            </w:r>
            <w:r>
              <w:t>Health benefit costs</w:t>
            </w:r>
          </w:p>
        </w:tc>
        <w:tc>
          <w:tcPr>
            <w:tcW w:w="1350" w:type="dxa"/>
          </w:tcPr>
          <w:p w14:paraId="034421E7" w14:textId="77777777" w:rsidR="00D567EB" w:rsidRPr="00DB0D9A" w:rsidRDefault="00D567EB" w:rsidP="00D567EB">
            <w:pPr>
              <w:overflowPunct w:val="0"/>
              <w:autoSpaceDE w:val="0"/>
              <w:autoSpaceDN w:val="0"/>
              <w:adjustRightInd w:val="0"/>
              <w:ind w:firstLine="0"/>
              <w:textAlignment w:val="baseline"/>
            </w:pPr>
            <w:r>
              <w:t>28(9)</w:t>
            </w:r>
          </w:p>
        </w:tc>
        <w:tc>
          <w:tcPr>
            <w:tcW w:w="1609" w:type="dxa"/>
          </w:tcPr>
          <w:p w14:paraId="67D53F42" w14:textId="77777777" w:rsidR="00D567EB" w:rsidRPr="00DB0D9A" w:rsidRDefault="00D567EB" w:rsidP="00D567EB">
            <w:pPr>
              <w:overflowPunct w:val="0"/>
              <w:autoSpaceDE w:val="0"/>
              <w:autoSpaceDN w:val="0"/>
              <w:adjustRightInd w:val="0"/>
              <w:ind w:firstLine="28"/>
              <w:textAlignment w:val="baseline"/>
            </w:pPr>
            <w:r>
              <w:t>24(9)</w:t>
            </w:r>
          </w:p>
        </w:tc>
        <w:tc>
          <w:tcPr>
            <w:tcW w:w="1581" w:type="dxa"/>
          </w:tcPr>
          <w:p w14:paraId="7AE8A47C" w14:textId="77777777" w:rsidR="00D567EB" w:rsidRPr="00DB0D9A" w:rsidRDefault="00D567EB" w:rsidP="00D567EB">
            <w:pPr>
              <w:overflowPunct w:val="0"/>
              <w:autoSpaceDE w:val="0"/>
              <w:autoSpaceDN w:val="0"/>
              <w:adjustRightInd w:val="0"/>
              <w:ind w:hanging="14"/>
              <w:textAlignment w:val="baseline"/>
            </w:pPr>
            <w:r w:rsidRPr="00DB0D9A">
              <w:t>___</w:t>
            </w:r>
          </w:p>
        </w:tc>
        <w:tc>
          <w:tcPr>
            <w:tcW w:w="1170" w:type="dxa"/>
          </w:tcPr>
          <w:p w14:paraId="49FB3443" w14:textId="77777777" w:rsidR="00D567EB" w:rsidRPr="00DB0D9A" w:rsidRDefault="00D567EB" w:rsidP="00D567EB">
            <w:pPr>
              <w:overflowPunct w:val="0"/>
              <w:autoSpaceDE w:val="0"/>
              <w:autoSpaceDN w:val="0"/>
              <w:adjustRightInd w:val="0"/>
              <w:ind w:firstLine="0"/>
              <w:textAlignment w:val="baseline"/>
            </w:pPr>
            <w:r w:rsidRPr="00DB0D9A">
              <w:t>___</w:t>
            </w:r>
          </w:p>
        </w:tc>
      </w:tr>
      <w:tr w:rsidR="00D567EB" w:rsidRPr="00DB0D9A" w14:paraId="5D6F1BA9" w14:textId="77777777" w:rsidTr="00D567EB">
        <w:tc>
          <w:tcPr>
            <w:tcW w:w="4338" w:type="dxa"/>
            <w:vAlign w:val="bottom"/>
          </w:tcPr>
          <w:p w14:paraId="32B0BDCB" w14:textId="77777777" w:rsidR="00D567EB" w:rsidRPr="00DB0D9A" w:rsidRDefault="00D567EB" w:rsidP="00D567EB">
            <w:pPr>
              <w:overflowPunct w:val="0"/>
              <w:autoSpaceDE w:val="0"/>
              <w:autoSpaceDN w:val="0"/>
              <w:adjustRightInd w:val="0"/>
              <w:ind w:firstLine="0"/>
              <w:textAlignment w:val="baseline"/>
              <w:rPr>
                <w:b/>
              </w:rPr>
            </w:pPr>
            <w:r w:rsidRPr="00DB0D9A">
              <w:t xml:space="preserve">10. </w:t>
            </w:r>
            <w:r>
              <w:t>Capacity to innovate</w:t>
            </w:r>
          </w:p>
        </w:tc>
        <w:tc>
          <w:tcPr>
            <w:tcW w:w="1350" w:type="dxa"/>
          </w:tcPr>
          <w:p w14:paraId="416DEB70" w14:textId="77777777" w:rsidR="00D567EB" w:rsidRPr="00DB0D9A" w:rsidRDefault="00D567EB" w:rsidP="00D567EB">
            <w:pPr>
              <w:overflowPunct w:val="0"/>
              <w:autoSpaceDE w:val="0"/>
              <w:autoSpaceDN w:val="0"/>
              <w:adjustRightInd w:val="0"/>
              <w:ind w:firstLine="0"/>
              <w:textAlignment w:val="baseline"/>
            </w:pPr>
            <w:r>
              <w:t>18(10)</w:t>
            </w:r>
          </w:p>
        </w:tc>
        <w:tc>
          <w:tcPr>
            <w:tcW w:w="1609" w:type="dxa"/>
          </w:tcPr>
          <w:p w14:paraId="30EE0799" w14:textId="77777777" w:rsidR="00D567EB" w:rsidRPr="00DB0D9A" w:rsidRDefault="00D567EB" w:rsidP="00D567EB">
            <w:pPr>
              <w:overflowPunct w:val="0"/>
              <w:autoSpaceDE w:val="0"/>
              <w:autoSpaceDN w:val="0"/>
              <w:adjustRightInd w:val="0"/>
              <w:ind w:firstLine="28"/>
              <w:textAlignment w:val="baseline"/>
            </w:pPr>
            <w:r>
              <w:t>24(8)</w:t>
            </w:r>
          </w:p>
        </w:tc>
        <w:tc>
          <w:tcPr>
            <w:tcW w:w="1581" w:type="dxa"/>
          </w:tcPr>
          <w:p w14:paraId="36A63F3E" w14:textId="77777777" w:rsidR="00D567EB" w:rsidRPr="00DB0D9A" w:rsidRDefault="00D567EB" w:rsidP="00D567EB">
            <w:pPr>
              <w:overflowPunct w:val="0"/>
              <w:autoSpaceDE w:val="0"/>
              <w:autoSpaceDN w:val="0"/>
              <w:adjustRightInd w:val="0"/>
              <w:ind w:hanging="14"/>
              <w:textAlignment w:val="baseline"/>
            </w:pPr>
            <w:r w:rsidRPr="00DB0D9A">
              <w:t>___</w:t>
            </w:r>
          </w:p>
        </w:tc>
        <w:tc>
          <w:tcPr>
            <w:tcW w:w="1170" w:type="dxa"/>
          </w:tcPr>
          <w:p w14:paraId="22D4EC04" w14:textId="77777777" w:rsidR="00D567EB" w:rsidRPr="00DB0D9A" w:rsidRDefault="00D567EB" w:rsidP="00D567EB">
            <w:pPr>
              <w:overflowPunct w:val="0"/>
              <w:autoSpaceDE w:val="0"/>
              <w:autoSpaceDN w:val="0"/>
              <w:adjustRightInd w:val="0"/>
              <w:ind w:firstLine="0"/>
              <w:textAlignment w:val="baseline"/>
            </w:pPr>
            <w:r w:rsidRPr="00DB0D9A">
              <w:t>___</w:t>
            </w:r>
          </w:p>
        </w:tc>
      </w:tr>
      <w:tr w:rsidR="00D567EB" w:rsidRPr="00DB0D9A" w14:paraId="00D5EE1B" w14:textId="77777777" w:rsidTr="00D567EB">
        <w:tc>
          <w:tcPr>
            <w:tcW w:w="4338" w:type="dxa"/>
            <w:vAlign w:val="bottom"/>
          </w:tcPr>
          <w:p w14:paraId="0A8503CE" w14:textId="77777777" w:rsidR="00D567EB" w:rsidRPr="00DB0D9A" w:rsidRDefault="00D567EB" w:rsidP="00D567EB">
            <w:pPr>
              <w:overflowPunct w:val="0"/>
              <w:autoSpaceDE w:val="0"/>
              <w:autoSpaceDN w:val="0"/>
              <w:adjustRightInd w:val="0"/>
              <w:ind w:firstLine="0"/>
              <w:textAlignment w:val="baseline"/>
              <w:rPr>
                <w:b/>
              </w:rPr>
            </w:pPr>
            <w:r w:rsidRPr="00DB0D9A">
              <w:t xml:space="preserve">11. </w:t>
            </w:r>
            <w:r>
              <w:t>Learning capability</w:t>
            </w:r>
          </w:p>
        </w:tc>
        <w:tc>
          <w:tcPr>
            <w:tcW w:w="1350" w:type="dxa"/>
          </w:tcPr>
          <w:p w14:paraId="2BEFAE69" w14:textId="77777777" w:rsidR="00D567EB" w:rsidRPr="00DB0D9A" w:rsidRDefault="00D567EB" w:rsidP="00D567EB">
            <w:pPr>
              <w:overflowPunct w:val="0"/>
              <w:autoSpaceDE w:val="0"/>
              <w:autoSpaceDN w:val="0"/>
              <w:adjustRightInd w:val="0"/>
              <w:ind w:firstLine="0"/>
              <w:textAlignment w:val="baseline"/>
            </w:pPr>
            <w:r>
              <w:t>14(11)</w:t>
            </w:r>
          </w:p>
        </w:tc>
        <w:tc>
          <w:tcPr>
            <w:tcW w:w="1609" w:type="dxa"/>
          </w:tcPr>
          <w:p w14:paraId="2502AAF1" w14:textId="77777777" w:rsidR="00D567EB" w:rsidRPr="00DB0D9A" w:rsidRDefault="00D567EB" w:rsidP="00D567EB">
            <w:pPr>
              <w:overflowPunct w:val="0"/>
              <w:autoSpaceDE w:val="0"/>
              <w:autoSpaceDN w:val="0"/>
              <w:adjustRightInd w:val="0"/>
              <w:ind w:firstLine="28"/>
              <w:textAlignment w:val="baseline"/>
            </w:pPr>
            <w:r>
              <w:t>14(12)</w:t>
            </w:r>
          </w:p>
        </w:tc>
        <w:tc>
          <w:tcPr>
            <w:tcW w:w="1581" w:type="dxa"/>
          </w:tcPr>
          <w:p w14:paraId="7264AD40" w14:textId="77777777" w:rsidR="00D567EB" w:rsidRPr="00DB0D9A" w:rsidRDefault="00D567EB" w:rsidP="00D567EB">
            <w:pPr>
              <w:overflowPunct w:val="0"/>
              <w:autoSpaceDE w:val="0"/>
              <w:autoSpaceDN w:val="0"/>
              <w:adjustRightInd w:val="0"/>
              <w:ind w:hanging="14"/>
              <w:textAlignment w:val="baseline"/>
            </w:pPr>
            <w:r w:rsidRPr="00DB0D9A">
              <w:t>___</w:t>
            </w:r>
          </w:p>
        </w:tc>
        <w:tc>
          <w:tcPr>
            <w:tcW w:w="1170" w:type="dxa"/>
          </w:tcPr>
          <w:p w14:paraId="1B5757F4" w14:textId="77777777" w:rsidR="00D567EB" w:rsidRPr="00DB0D9A" w:rsidRDefault="00D567EB" w:rsidP="00D567EB">
            <w:pPr>
              <w:overflowPunct w:val="0"/>
              <w:autoSpaceDE w:val="0"/>
              <w:autoSpaceDN w:val="0"/>
              <w:adjustRightInd w:val="0"/>
              <w:ind w:firstLine="0"/>
              <w:textAlignment w:val="baseline"/>
            </w:pPr>
            <w:r w:rsidRPr="00DB0D9A">
              <w:t>___</w:t>
            </w:r>
          </w:p>
        </w:tc>
      </w:tr>
      <w:tr w:rsidR="00D567EB" w:rsidRPr="00DB0D9A" w14:paraId="3B0DD821" w14:textId="77777777" w:rsidTr="00D567EB">
        <w:tc>
          <w:tcPr>
            <w:tcW w:w="4338" w:type="dxa"/>
            <w:vAlign w:val="bottom"/>
          </w:tcPr>
          <w:p w14:paraId="2A1C39B5" w14:textId="77777777" w:rsidR="00D567EB" w:rsidRPr="00DB0D9A" w:rsidRDefault="00D567EB" w:rsidP="00D567EB">
            <w:pPr>
              <w:overflowPunct w:val="0"/>
              <w:autoSpaceDE w:val="0"/>
              <w:autoSpaceDN w:val="0"/>
              <w:adjustRightInd w:val="0"/>
              <w:ind w:firstLine="0"/>
              <w:textAlignment w:val="baseline"/>
            </w:pPr>
            <w:r w:rsidRPr="00DB0D9A">
              <w:t xml:space="preserve">12. </w:t>
            </w:r>
            <w:r>
              <w:t>Increasing diverse workforce</w:t>
            </w:r>
          </w:p>
        </w:tc>
        <w:tc>
          <w:tcPr>
            <w:tcW w:w="1350" w:type="dxa"/>
          </w:tcPr>
          <w:p w14:paraId="17DE9B91" w14:textId="77777777" w:rsidR="00D567EB" w:rsidRPr="00DB0D9A" w:rsidRDefault="00D567EB" w:rsidP="00D567EB">
            <w:pPr>
              <w:overflowPunct w:val="0"/>
              <w:autoSpaceDE w:val="0"/>
              <w:autoSpaceDN w:val="0"/>
              <w:adjustRightInd w:val="0"/>
              <w:ind w:firstLine="0"/>
              <w:textAlignment w:val="baseline"/>
            </w:pPr>
            <w:r>
              <w:t>13(12)</w:t>
            </w:r>
          </w:p>
        </w:tc>
        <w:tc>
          <w:tcPr>
            <w:tcW w:w="1609" w:type="dxa"/>
          </w:tcPr>
          <w:p w14:paraId="5202BB3D" w14:textId="77777777" w:rsidR="00D567EB" w:rsidRPr="00DB0D9A" w:rsidRDefault="00D567EB" w:rsidP="00D567EB">
            <w:pPr>
              <w:overflowPunct w:val="0"/>
              <w:autoSpaceDE w:val="0"/>
              <w:autoSpaceDN w:val="0"/>
              <w:adjustRightInd w:val="0"/>
              <w:ind w:firstLine="28"/>
              <w:textAlignment w:val="baseline"/>
            </w:pPr>
            <w:r>
              <w:t>21(10)</w:t>
            </w:r>
          </w:p>
        </w:tc>
        <w:tc>
          <w:tcPr>
            <w:tcW w:w="1581" w:type="dxa"/>
          </w:tcPr>
          <w:p w14:paraId="4DD60623" w14:textId="77777777" w:rsidR="00D567EB" w:rsidRPr="00DB0D9A" w:rsidRDefault="00D567EB" w:rsidP="00D567EB">
            <w:pPr>
              <w:overflowPunct w:val="0"/>
              <w:autoSpaceDE w:val="0"/>
              <w:autoSpaceDN w:val="0"/>
              <w:adjustRightInd w:val="0"/>
              <w:ind w:hanging="14"/>
              <w:textAlignment w:val="baseline"/>
            </w:pPr>
            <w:r w:rsidRPr="00DB0D9A">
              <w:t>___</w:t>
            </w:r>
          </w:p>
        </w:tc>
        <w:tc>
          <w:tcPr>
            <w:tcW w:w="1170" w:type="dxa"/>
          </w:tcPr>
          <w:p w14:paraId="26B64F53" w14:textId="77777777" w:rsidR="00D567EB" w:rsidRPr="00DB0D9A" w:rsidRDefault="00D567EB" w:rsidP="00D567EB">
            <w:pPr>
              <w:overflowPunct w:val="0"/>
              <w:autoSpaceDE w:val="0"/>
              <w:autoSpaceDN w:val="0"/>
              <w:adjustRightInd w:val="0"/>
              <w:ind w:firstLine="0"/>
              <w:textAlignment w:val="baseline"/>
            </w:pPr>
            <w:r w:rsidRPr="00DB0D9A">
              <w:t>___</w:t>
            </w:r>
          </w:p>
        </w:tc>
      </w:tr>
      <w:tr w:rsidR="00D567EB" w:rsidRPr="00DB0D9A" w14:paraId="19D3E810" w14:textId="77777777" w:rsidTr="00D567EB">
        <w:tc>
          <w:tcPr>
            <w:tcW w:w="4338" w:type="dxa"/>
            <w:vAlign w:val="bottom"/>
          </w:tcPr>
          <w:p w14:paraId="1D292D93" w14:textId="77777777" w:rsidR="00D567EB" w:rsidRPr="00DB0D9A" w:rsidRDefault="00D567EB" w:rsidP="00D567EB">
            <w:pPr>
              <w:overflowPunct w:val="0"/>
              <w:autoSpaceDE w:val="0"/>
              <w:autoSpaceDN w:val="0"/>
              <w:adjustRightInd w:val="0"/>
              <w:ind w:firstLine="0"/>
              <w:textAlignment w:val="baseline"/>
            </w:pPr>
            <w:r w:rsidRPr="00DB0D9A">
              <w:t xml:space="preserve">13. </w:t>
            </w:r>
            <w:r>
              <w:t>Other</w:t>
            </w:r>
          </w:p>
        </w:tc>
        <w:tc>
          <w:tcPr>
            <w:tcW w:w="1350" w:type="dxa"/>
          </w:tcPr>
          <w:p w14:paraId="4FC63419" w14:textId="77777777" w:rsidR="00D567EB" w:rsidRPr="00DB0D9A" w:rsidRDefault="00D567EB" w:rsidP="00D567EB">
            <w:pPr>
              <w:overflowPunct w:val="0"/>
              <w:autoSpaceDE w:val="0"/>
              <w:autoSpaceDN w:val="0"/>
              <w:adjustRightInd w:val="0"/>
              <w:ind w:firstLine="0"/>
              <w:textAlignment w:val="baseline"/>
            </w:pPr>
            <w:r>
              <w:t>10(13)</w:t>
            </w:r>
          </w:p>
        </w:tc>
        <w:tc>
          <w:tcPr>
            <w:tcW w:w="1609" w:type="dxa"/>
          </w:tcPr>
          <w:p w14:paraId="01C978CE" w14:textId="77777777" w:rsidR="00D567EB" w:rsidRPr="00DB0D9A" w:rsidRDefault="00D567EB" w:rsidP="00D567EB">
            <w:pPr>
              <w:overflowPunct w:val="0"/>
              <w:autoSpaceDE w:val="0"/>
              <w:autoSpaceDN w:val="0"/>
              <w:adjustRightInd w:val="0"/>
              <w:ind w:firstLine="28"/>
              <w:textAlignment w:val="baseline"/>
            </w:pPr>
            <w:r>
              <w:t>7(14)</w:t>
            </w:r>
          </w:p>
        </w:tc>
        <w:tc>
          <w:tcPr>
            <w:tcW w:w="1581" w:type="dxa"/>
          </w:tcPr>
          <w:p w14:paraId="292C2285" w14:textId="77777777" w:rsidR="00D567EB" w:rsidRPr="00DB0D9A" w:rsidRDefault="00D567EB" w:rsidP="00D567EB">
            <w:pPr>
              <w:overflowPunct w:val="0"/>
              <w:autoSpaceDE w:val="0"/>
              <w:autoSpaceDN w:val="0"/>
              <w:adjustRightInd w:val="0"/>
              <w:ind w:hanging="14"/>
              <w:textAlignment w:val="baseline"/>
            </w:pPr>
            <w:r w:rsidRPr="00DB0D9A">
              <w:t>___</w:t>
            </w:r>
          </w:p>
        </w:tc>
        <w:tc>
          <w:tcPr>
            <w:tcW w:w="1170" w:type="dxa"/>
          </w:tcPr>
          <w:p w14:paraId="1D351E30" w14:textId="77777777" w:rsidR="00D567EB" w:rsidRPr="00DB0D9A" w:rsidRDefault="00D567EB" w:rsidP="00D567EB">
            <w:pPr>
              <w:overflowPunct w:val="0"/>
              <w:autoSpaceDE w:val="0"/>
              <w:autoSpaceDN w:val="0"/>
              <w:adjustRightInd w:val="0"/>
              <w:ind w:firstLine="0"/>
              <w:textAlignment w:val="baseline"/>
            </w:pPr>
            <w:r w:rsidRPr="00DB0D9A">
              <w:t>___</w:t>
            </w:r>
          </w:p>
        </w:tc>
      </w:tr>
      <w:tr w:rsidR="00D567EB" w:rsidRPr="00DB0D9A" w14:paraId="38CBD1C6" w14:textId="77777777" w:rsidTr="00D567EB">
        <w:tc>
          <w:tcPr>
            <w:tcW w:w="4338" w:type="dxa"/>
            <w:vAlign w:val="bottom"/>
          </w:tcPr>
          <w:p w14:paraId="717A725F" w14:textId="77777777" w:rsidR="00D567EB" w:rsidRPr="00DB0D9A" w:rsidRDefault="00D567EB" w:rsidP="00D567EB">
            <w:pPr>
              <w:overflowPunct w:val="0"/>
              <w:autoSpaceDE w:val="0"/>
              <w:autoSpaceDN w:val="0"/>
              <w:adjustRightInd w:val="0"/>
              <w:ind w:firstLine="0"/>
              <w:textAlignment w:val="baseline"/>
            </w:pPr>
            <w:r w:rsidRPr="00DB0D9A">
              <w:t xml:space="preserve">14. </w:t>
            </w:r>
            <w:r>
              <w:t>Impact of technological change</w:t>
            </w:r>
          </w:p>
        </w:tc>
        <w:tc>
          <w:tcPr>
            <w:tcW w:w="1350" w:type="dxa"/>
          </w:tcPr>
          <w:p w14:paraId="01828813" w14:textId="77777777" w:rsidR="00D567EB" w:rsidRPr="00DB0D9A" w:rsidRDefault="00D567EB" w:rsidP="00D567EB">
            <w:pPr>
              <w:overflowPunct w:val="0"/>
              <w:autoSpaceDE w:val="0"/>
              <w:autoSpaceDN w:val="0"/>
              <w:adjustRightInd w:val="0"/>
              <w:ind w:firstLine="0"/>
              <w:textAlignment w:val="baseline"/>
            </w:pPr>
            <w:r>
              <w:t>7 (14)</w:t>
            </w:r>
          </w:p>
        </w:tc>
        <w:tc>
          <w:tcPr>
            <w:tcW w:w="1609" w:type="dxa"/>
          </w:tcPr>
          <w:p w14:paraId="07AAE133" w14:textId="77777777" w:rsidR="00D567EB" w:rsidRPr="00DB0D9A" w:rsidRDefault="00D567EB" w:rsidP="00D567EB">
            <w:pPr>
              <w:overflowPunct w:val="0"/>
              <w:autoSpaceDE w:val="0"/>
              <w:autoSpaceDN w:val="0"/>
              <w:adjustRightInd w:val="0"/>
              <w:ind w:firstLine="28"/>
              <w:textAlignment w:val="baseline"/>
            </w:pPr>
            <w:r>
              <w:t>12(13)</w:t>
            </w:r>
          </w:p>
        </w:tc>
        <w:tc>
          <w:tcPr>
            <w:tcW w:w="1581" w:type="dxa"/>
          </w:tcPr>
          <w:p w14:paraId="418E2005" w14:textId="77777777" w:rsidR="00D567EB" w:rsidRPr="00DB0D9A" w:rsidRDefault="00D567EB" w:rsidP="00D567EB">
            <w:pPr>
              <w:overflowPunct w:val="0"/>
              <w:autoSpaceDE w:val="0"/>
              <w:autoSpaceDN w:val="0"/>
              <w:adjustRightInd w:val="0"/>
              <w:ind w:hanging="14"/>
              <w:textAlignment w:val="baseline"/>
            </w:pPr>
            <w:r w:rsidRPr="00DB0D9A">
              <w:t>___</w:t>
            </w:r>
          </w:p>
        </w:tc>
        <w:tc>
          <w:tcPr>
            <w:tcW w:w="1170" w:type="dxa"/>
          </w:tcPr>
          <w:p w14:paraId="046F3188" w14:textId="77777777" w:rsidR="00D567EB" w:rsidRPr="00DB0D9A" w:rsidRDefault="00D567EB" w:rsidP="00D567EB">
            <w:pPr>
              <w:overflowPunct w:val="0"/>
              <w:autoSpaceDE w:val="0"/>
              <w:autoSpaceDN w:val="0"/>
              <w:adjustRightInd w:val="0"/>
              <w:ind w:firstLine="0"/>
              <w:textAlignment w:val="baseline"/>
            </w:pPr>
            <w:r w:rsidRPr="00DB0D9A">
              <w:t>___</w:t>
            </w:r>
          </w:p>
        </w:tc>
      </w:tr>
      <w:tr w:rsidR="00D567EB" w:rsidRPr="00DB0D9A" w14:paraId="79D8F683" w14:textId="77777777" w:rsidTr="00D567EB">
        <w:tc>
          <w:tcPr>
            <w:tcW w:w="4338" w:type="dxa"/>
            <w:vAlign w:val="bottom"/>
          </w:tcPr>
          <w:p w14:paraId="7E3B6893" w14:textId="77777777" w:rsidR="00D567EB" w:rsidRPr="00DB0D9A" w:rsidRDefault="00D567EB" w:rsidP="00D567EB">
            <w:pPr>
              <w:overflowPunct w:val="0"/>
              <w:autoSpaceDE w:val="0"/>
              <w:autoSpaceDN w:val="0"/>
              <w:adjustRightInd w:val="0"/>
              <w:ind w:firstLine="0"/>
              <w:textAlignment w:val="baseline"/>
            </w:pPr>
            <w:r w:rsidRPr="00DB0D9A">
              <w:t xml:space="preserve">15. </w:t>
            </w:r>
            <w:r>
              <w:t>Disasters/threats</w:t>
            </w:r>
          </w:p>
        </w:tc>
        <w:tc>
          <w:tcPr>
            <w:tcW w:w="1350" w:type="dxa"/>
          </w:tcPr>
          <w:p w14:paraId="4827D2D4" w14:textId="77777777" w:rsidR="00D567EB" w:rsidRPr="00DB0D9A" w:rsidRDefault="00D567EB" w:rsidP="00D567EB">
            <w:pPr>
              <w:overflowPunct w:val="0"/>
              <w:autoSpaceDE w:val="0"/>
              <w:autoSpaceDN w:val="0"/>
              <w:adjustRightInd w:val="0"/>
              <w:ind w:firstLine="0"/>
              <w:textAlignment w:val="baseline"/>
            </w:pPr>
            <w:r>
              <w:t>2</w:t>
            </w:r>
            <w:r w:rsidRPr="00DB0D9A">
              <w:t>1</w:t>
            </w:r>
            <w:r>
              <w:t>(15)</w:t>
            </w:r>
          </w:p>
        </w:tc>
        <w:tc>
          <w:tcPr>
            <w:tcW w:w="1609" w:type="dxa"/>
          </w:tcPr>
          <w:p w14:paraId="3ACFD992" w14:textId="77777777" w:rsidR="00D567EB" w:rsidRPr="00DB0D9A" w:rsidRDefault="00D567EB" w:rsidP="00D567EB">
            <w:pPr>
              <w:overflowPunct w:val="0"/>
              <w:autoSpaceDE w:val="0"/>
              <w:autoSpaceDN w:val="0"/>
              <w:adjustRightInd w:val="0"/>
              <w:ind w:firstLine="28"/>
              <w:textAlignment w:val="baseline"/>
            </w:pPr>
            <w:r>
              <w:t>1(15)</w:t>
            </w:r>
          </w:p>
        </w:tc>
        <w:tc>
          <w:tcPr>
            <w:tcW w:w="1581" w:type="dxa"/>
          </w:tcPr>
          <w:p w14:paraId="52DA859D" w14:textId="77777777" w:rsidR="00D567EB" w:rsidRPr="00DB0D9A" w:rsidRDefault="00D567EB" w:rsidP="00D567EB">
            <w:pPr>
              <w:overflowPunct w:val="0"/>
              <w:autoSpaceDE w:val="0"/>
              <w:autoSpaceDN w:val="0"/>
              <w:adjustRightInd w:val="0"/>
              <w:ind w:hanging="14"/>
              <w:textAlignment w:val="baseline"/>
            </w:pPr>
            <w:r w:rsidRPr="00DB0D9A">
              <w:t>___</w:t>
            </w:r>
          </w:p>
        </w:tc>
        <w:tc>
          <w:tcPr>
            <w:tcW w:w="1170" w:type="dxa"/>
          </w:tcPr>
          <w:p w14:paraId="2444AE21" w14:textId="77777777" w:rsidR="00D567EB" w:rsidRPr="00DB0D9A" w:rsidRDefault="00D567EB" w:rsidP="00D567EB">
            <w:pPr>
              <w:overflowPunct w:val="0"/>
              <w:autoSpaceDE w:val="0"/>
              <w:autoSpaceDN w:val="0"/>
              <w:adjustRightInd w:val="0"/>
              <w:ind w:firstLine="0"/>
              <w:textAlignment w:val="baseline"/>
            </w:pPr>
            <w:r w:rsidRPr="00DB0D9A">
              <w:t>___</w:t>
            </w:r>
          </w:p>
        </w:tc>
      </w:tr>
    </w:tbl>
    <w:p w14:paraId="3B930CC0" w14:textId="46F0D354" w:rsidR="00D567EB" w:rsidRDefault="00D567EB" w:rsidP="00D567EB">
      <w:pPr>
        <w:pStyle w:val="NormalWeb"/>
        <w:tabs>
          <w:tab w:val="clear" w:pos="8640"/>
        </w:tabs>
      </w:pPr>
      <w:r>
        <w:tab/>
        <w:t xml:space="preserve">The most serious challenge is </w:t>
      </w:r>
      <w:r w:rsidRPr="00390E9D">
        <w:t>leadership capacity</w:t>
      </w:r>
      <w:r>
        <w:t xml:space="preserve">, suggesting that the availability of good leaders is relatively thin in these respondent organizations. </w:t>
      </w:r>
    </w:p>
    <w:p w14:paraId="2D340AEA" w14:textId="77777777" w:rsidR="00D567EB" w:rsidRDefault="00D567EB" w:rsidP="00D567EB">
      <w:pPr>
        <w:pStyle w:val="NormalWeb"/>
        <w:tabs>
          <w:tab w:val="clear" w:pos="8640"/>
        </w:tabs>
      </w:pPr>
      <w:r>
        <w:tab/>
        <w:t xml:space="preserve">A second challenge is the </w:t>
      </w:r>
      <w:r w:rsidRPr="00390E9D">
        <w:t>aging workforce</w:t>
      </w:r>
      <w:r>
        <w:t xml:space="preserve"> (for the next 3-5 years). A high proportion of seasoned senior people are ready for retirement, as are people at other levels. </w:t>
      </w:r>
    </w:p>
    <w:p w14:paraId="409375FE" w14:textId="77777777" w:rsidR="00D567EB" w:rsidRDefault="00D567EB" w:rsidP="00D567EB">
      <w:pPr>
        <w:pStyle w:val="NormalWeb"/>
        <w:tabs>
          <w:tab w:val="clear" w:pos="8640"/>
        </w:tabs>
      </w:pPr>
      <w:r>
        <w:lastRenderedPageBreak/>
        <w:tab/>
        <w:t xml:space="preserve">Employee engagement (for the next 12 – 18 months) is a key challenge. Keeping existing people engaged is an important challenge in motivating people and improving performance. </w:t>
      </w:r>
    </w:p>
    <w:p w14:paraId="742279F2" w14:textId="77777777" w:rsidR="00D567EB" w:rsidRDefault="00D567EB" w:rsidP="00D567EB">
      <w:pPr>
        <w:pStyle w:val="NormalWeb"/>
        <w:tabs>
          <w:tab w:val="clear" w:pos="8640"/>
        </w:tabs>
        <w:spacing w:before="0" w:after="0" w:line="360" w:lineRule="auto"/>
      </w:pPr>
      <w:r>
        <w:tab/>
        <w:t xml:space="preserve">Review these rankings within your present context or organizations you are familiar with. These challenges might be more or less important at different times for different organizations.  </w:t>
      </w:r>
    </w:p>
    <w:p w14:paraId="7C9C4EF9" w14:textId="2528577E" w:rsidR="00D567EB" w:rsidRDefault="00D567EB" w:rsidP="00D567EB">
      <w:pPr>
        <w:pStyle w:val="NormalWeb"/>
        <w:tabs>
          <w:tab w:val="clear" w:pos="8640"/>
        </w:tabs>
      </w:pPr>
      <w:r>
        <w:tab/>
        <w:t xml:space="preserve">1. Review your group ranking and compare them with the Conference Board rankings. The above results reflect the perception of HR managers during 2005. Are these results valid today? Why or Why not? </w:t>
      </w:r>
    </w:p>
    <w:p w14:paraId="4A571D27" w14:textId="7E907B95" w:rsidR="00343F31" w:rsidRDefault="00343F31" w:rsidP="00D567EB">
      <w:pPr>
        <w:pStyle w:val="NormalWeb"/>
        <w:tabs>
          <w:tab w:val="clear" w:pos="8640"/>
        </w:tabs>
      </w:pPr>
      <w:r>
        <w:tab/>
        <w:t>Note that skill shortage was ranked high (before 2008). Is this as true today?</w:t>
      </w:r>
    </w:p>
    <w:p w14:paraId="69AD2F99" w14:textId="17B140E3" w:rsidR="00D567EB" w:rsidRDefault="00D567EB" w:rsidP="00D567EB">
      <w:pPr>
        <w:pStyle w:val="NormalWeb"/>
        <w:tabs>
          <w:tab w:val="clear" w:pos="8640"/>
        </w:tabs>
      </w:pPr>
      <w:r>
        <w:tab/>
        <w:t>These results reflect Conference Board research in Canada. What would be different in the U.K. EU, USA, Australia, New Zealand, Singapore, or other country?</w:t>
      </w:r>
    </w:p>
    <w:p w14:paraId="3407F5FF" w14:textId="77777777" w:rsidR="00D567EB" w:rsidRDefault="00D567EB" w:rsidP="00D567EB">
      <w:pPr>
        <w:ind w:firstLine="0"/>
      </w:pPr>
      <w:r>
        <w:tab/>
        <w:t xml:space="preserve">2. If your rankings were significantly different, ask other groups if they share your views. </w:t>
      </w:r>
    </w:p>
    <w:p w14:paraId="30750351" w14:textId="77777777" w:rsidR="00D567EB" w:rsidRDefault="00D567EB" w:rsidP="00D567EB">
      <w:pPr>
        <w:ind w:firstLine="0"/>
      </w:pPr>
      <w:r>
        <w:tab/>
        <w:t xml:space="preserve">3. Note the general importance of the soft skills (leadership, engagement, skill shortages, and capacity to change). </w:t>
      </w:r>
      <w:r w:rsidRPr="005F7BB0">
        <w:t xml:space="preserve"> </w:t>
      </w:r>
      <w:r>
        <w:t>Do you agree?</w:t>
      </w:r>
    </w:p>
    <w:p w14:paraId="140CFF70" w14:textId="77777777" w:rsidR="00D567EB" w:rsidRDefault="00D567EB" w:rsidP="00D567EB">
      <w:pPr>
        <w:ind w:firstLine="0"/>
      </w:pPr>
      <w:r>
        <w:tab/>
        <w:t xml:space="preserve">4. Note the low importance of technological change, a challenge that was so dominant years ago. Do you agree? </w:t>
      </w:r>
    </w:p>
    <w:p w14:paraId="51B02A54" w14:textId="77777777" w:rsidR="00D567EB" w:rsidRDefault="00D567EB" w:rsidP="00D567EB">
      <w:pPr>
        <w:ind w:firstLine="0"/>
      </w:pPr>
      <w:r>
        <w:tab/>
        <w:t>5. Note that there does not seem to be significant differences in the importance of these challenges in the short and medium term.  Do you agree?</w:t>
      </w:r>
    </w:p>
    <w:p w14:paraId="6E54ACA8" w14:textId="77777777" w:rsidR="00D567EB" w:rsidRDefault="00D567EB" w:rsidP="00D567EB">
      <w:pPr>
        <w:ind w:firstLine="0"/>
      </w:pPr>
      <w:r>
        <w:tab/>
        <w:t xml:space="preserve">6. Given the top three challenges, what strategies and objectives should organizations adopt in their workforce plans? </w:t>
      </w:r>
    </w:p>
    <w:p w14:paraId="3C8352C2" w14:textId="1B3A76E6" w:rsidR="004255A2" w:rsidRPr="005D2879" w:rsidRDefault="004255A2" w:rsidP="00C40E7E">
      <w:pPr>
        <w:ind w:firstLine="0"/>
      </w:pPr>
    </w:p>
    <w:p w14:paraId="3BCA311F" w14:textId="77777777" w:rsidR="00CD6AC5" w:rsidRDefault="00CD6AC5" w:rsidP="00CD6AC5">
      <w:pPr>
        <w:spacing w:line="240" w:lineRule="auto"/>
        <w:ind w:firstLine="0"/>
      </w:pPr>
    </w:p>
    <w:p w14:paraId="5166E547" w14:textId="77E9DFDF" w:rsidR="00AD5495" w:rsidRPr="00BB7C4E" w:rsidRDefault="00BB7C4E" w:rsidP="008E1F1B">
      <w:pPr>
        <w:pStyle w:val="Heading1"/>
      </w:pPr>
      <w:bookmarkStart w:id="9" w:name="_Toc325373638"/>
      <w:bookmarkStart w:id="10" w:name="_Toc331682566"/>
      <w:r w:rsidRPr="008E1F1B">
        <w:t>Reference</w:t>
      </w:r>
      <w:r w:rsidRPr="00BB7C4E">
        <w:t>s</w:t>
      </w:r>
      <w:bookmarkEnd w:id="9"/>
      <w:bookmarkEnd w:id="10"/>
    </w:p>
    <w:sectPr w:rsidR="00AD5495" w:rsidRPr="00BB7C4E" w:rsidSect="00AD5495">
      <w:headerReference w:type="default" r:id="rId9"/>
      <w:footerReference w:type="even" r:id="rId10"/>
      <w:footerReference w:type="default" r:id="rId11"/>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67F39" w14:textId="77777777" w:rsidR="002B3768" w:rsidRDefault="002B3768" w:rsidP="00CD6AC5">
      <w:pPr>
        <w:spacing w:line="240" w:lineRule="auto"/>
      </w:pPr>
      <w:r>
        <w:separator/>
      </w:r>
    </w:p>
  </w:endnote>
  <w:endnote w:type="continuationSeparator" w:id="0">
    <w:p w14:paraId="1F19232C" w14:textId="77777777" w:rsidR="002B3768" w:rsidRDefault="002B3768" w:rsidP="00CD6AC5">
      <w:pPr>
        <w:spacing w:line="240" w:lineRule="auto"/>
      </w:pPr>
      <w:r>
        <w:continuationSeparator/>
      </w:r>
    </w:p>
  </w:endnote>
  <w:endnote w:id="1">
    <w:p w14:paraId="5FC972F1" w14:textId="77777777" w:rsidR="00D567EB" w:rsidRPr="00C123E0" w:rsidRDefault="00D567EB" w:rsidP="00D567EB">
      <w:pPr>
        <w:pStyle w:val="endnote"/>
        <w:spacing w:line="240" w:lineRule="auto"/>
        <w:rPr>
          <w:sz w:val="22"/>
          <w:szCs w:val="22"/>
        </w:rPr>
      </w:pPr>
      <w:r w:rsidRPr="00C123E0">
        <w:rPr>
          <w:rStyle w:val="EndnoteReference"/>
          <w:sz w:val="22"/>
          <w:szCs w:val="22"/>
        </w:rPr>
        <w:endnoteRef/>
      </w:r>
      <w:r w:rsidRPr="00C123E0">
        <w:rPr>
          <w:sz w:val="22"/>
          <w:szCs w:val="22"/>
        </w:rPr>
        <w:t xml:space="preserve">  House, R.J., </w:t>
      </w:r>
      <w:proofErr w:type="spellStart"/>
      <w:r w:rsidRPr="00C123E0">
        <w:rPr>
          <w:sz w:val="22"/>
          <w:szCs w:val="22"/>
        </w:rPr>
        <w:t>Hanges</w:t>
      </w:r>
      <w:proofErr w:type="spellEnd"/>
      <w:r w:rsidRPr="00C123E0">
        <w:rPr>
          <w:sz w:val="22"/>
          <w:szCs w:val="22"/>
        </w:rPr>
        <w:t xml:space="preserve">, P.J., </w:t>
      </w:r>
      <w:proofErr w:type="spellStart"/>
      <w:r w:rsidRPr="00C123E0">
        <w:rPr>
          <w:sz w:val="22"/>
          <w:szCs w:val="22"/>
        </w:rPr>
        <w:t>Javidan</w:t>
      </w:r>
      <w:proofErr w:type="spellEnd"/>
      <w:r w:rsidRPr="00C123E0">
        <w:rPr>
          <w:sz w:val="22"/>
          <w:szCs w:val="22"/>
        </w:rPr>
        <w:t xml:space="preserve">, M., </w:t>
      </w:r>
      <w:proofErr w:type="spellStart"/>
      <w:r w:rsidRPr="00C123E0">
        <w:rPr>
          <w:sz w:val="22"/>
          <w:szCs w:val="22"/>
        </w:rPr>
        <w:t>Dorfman</w:t>
      </w:r>
      <w:proofErr w:type="spellEnd"/>
      <w:r w:rsidRPr="00C123E0">
        <w:rPr>
          <w:sz w:val="22"/>
          <w:szCs w:val="22"/>
        </w:rPr>
        <w:t>, P.W., &amp; Gupta, V. (2004</w:t>
      </w:r>
      <w:r w:rsidRPr="00C123E0">
        <w:rPr>
          <w:i/>
          <w:sz w:val="22"/>
          <w:szCs w:val="22"/>
        </w:rPr>
        <w:t>) Culture, leadership, and organizations,</w:t>
      </w:r>
      <w:r w:rsidRPr="00C123E0">
        <w:rPr>
          <w:sz w:val="22"/>
          <w:szCs w:val="22"/>
        </w:rPr>
        <w:t xml:space="preserve"> Thousand Oaks: Sage, 193. Ratings from 1-3 are low; 4 and 5 are medium: 6 and 7 are high.</w:t>
      </w:r>
    </w:p>
  </w:endnote>
  <w:endnote w:id="2">
    <w:p w14:paraId="47BCE48F" w14:textId="29A6E466" w:rsidR="00D567EB" w:rsidRPr="00A865B4" w:rsidRDefault="00D567EB" w:rsidP="00D567EB">
      <w:pPr>
        <w:pStyle w:val="endnote"/>
        <w:spacing w:line="240" w:lineRule="auto"/>
        <w:rPr>
          <w:sz w:val="22"/>
          <w:szCs w:val="22"/>
        </w:rPr>
      </w:pPr>
      <w:r w:rsidRPr="00A865B4">
        <w:rPr>
          <w:rStyle w:val="EndnoteReference"/>
          <w:rFonts w:eastAsiaTheme="majorEastAsia"/>
          <w:sz w:val="22"/>
          <w:szCs w:val="22"/>
        </w:rPr>
        <w:endnoteRef/>
      </w:r>
      <w:r w:rsidRPr="00A865B4">
        <w:rPr>
          <w:sz w:val="22"/>
          <w:szCs w:val="22"/>
        </w:rPr>
        <w:t xml:space="preserve"> </w:t>
      </w:r>
      <w:proofErr w:type="spellStart"/>
      <w:r w:rsidRPr="00E156CF">
        <w:rPr>
          <w:sz w:val="22"/>
          <w:szCs w:val="22"/>
        </w:rPr>
        <w:t>Dube</w:t>
      </w:r>
      <w:proofErr w:type="spellEnd"/>
      <w:r w:rsidRPr="00E156CF">
        <w:rPr>
          <w:sz w:val="22"/>
          <w:szCs w:val="22"/>
        </w:rPr>
        <w:t xml:space="preserve">, R. (2008) Gen Y wants to work it out. </w:t>
      </w:r>
      <w:r w:rsidRPr="00E156CF">
        <w:rPr>
          <w:i/>
          <w:sz w:val="22"/>
          <w:szCs w:val="22"/>
        </w:rPr>
        <w:t>Globe and Mail</w:t>
      </w:r>
      <w:r w:rsidRPr="00E156CF">
        <w:rPr>
          <w:sz w:val="22"/>
          <w:szCs w:val="22"/>
        </w:rPr>
        <w:t xml:space="preserve">, April 14: 1-2; Moses, B. (2006) </w:t>
      </w:r>
      <w:r w:rsidRPr="00E156CF">
        <w:rPr>
          <w:i/>
          <w:sz w:val="22"/>
          <w:szCs w:val="22"/>
        </w:rPr>
        <w:t>Dish: Midlife women tell the truth about work, relationships, and the rest of life</w:t>
      </w:r>
      <w:r>
        <w:rPr>
          <w:sz w:val="22"/>
          <w:szCs w:val="22"/>
        </w:rPr>
        <w:t>. Toronto: McClelland &amp; Stewart;</w:t>
      </w:r>
      <w:r w:rsidRPr="00A865B4">
        <w:rPr>
          <w:sz w:val="22"/>
          <w:szCs w:val="22"/>
        </w:rPr>
        <w:t xml:space="preserve"> </w:t>
      </w:r>
      <w:r w:rsidRPr="00E156CF">
        <w:rPr>
          <w:sz w:val="22"/>
          <w:szCs w:val="22"/>
        </w:rPr>
        <w:t xml:space="preserve">Moses, B. (2006) </w:t>
      </w:r>
      <w:r w:rsidRPr="00E156CF">
        <w:rPr>
          <w:i/>
          <w:sz w:val="22"/>
          <w:szCs w:val="22"/>
        </w:rPr>
        <w:t>Dish: Midlife women tell the truth about work, relationships, and the rest of life</w:t>
      </w:r>
      <w:r w:rsidRPr="00E156CF">
        <w:rPr>
          <w:sz w:val="22"/>
          <w:szCs w:val="22"/>
        </w:rPr>
        <w:t>. Toronto: McClelland &amp; Stewart.</w:t>
      </w:r>
    </w:p>
  </w:endnote>
  <w:endnote w:id="3">
    <w:p w14:paraId="34991CEA" w14:textId="26C51150" w:rsidR="00D567EB" w:rsidRPr="00A865B4" w:rsidRDefault="00D567EB" w:rsidP="00D567EB">
      <w:pPr>
        <w:pStyle w:val="endnote"/>
        <w:spacing w:line="240" w:lineRule="auto"/>
        <w:rPr>
          <w:sz w:val="22"/>
          <w:szCs w:val="22"/>
        </w:rPr>
      </w:pPr>
      <w:r w:rsidRPr="00FD5BE4">
        <w:rPr>
          <w:rStyle w:val="EndnoteReference"/>
          <w:rFonts w:eastAsiaTheme="majorEastAsia"/>
          <w:sz w:val="22"/>
          <w:szCs w:val="22"/>
        </w:rPr>
        <w:endnoteRef/>
      </w:r>
      <w:r w:rsidRPr="00FD5BE4">
        <w:rPr>
          <w:sz w:val="22"/>
          <w:szCs w:val="22"/>
          <w:vertAlign w:val="superscript"/>
        </w:rPr>
        <w:t xml:space="preserve"> </w:t>
      </w:r>
      <w:r w:rsidRPr="00A865B4">
        <w:rPr>
          <w:sz w:val="22"/>
          <w:szCs w:val="22"/>
        </w:rPr>
        <w:t>Moses, (20</w:t>
      </w:r>
      <w:r>
        <w:rPr>
          <w:sz w:val="22"/>
          <w:szCs w:val="22"/>
        </w:rPr>
        <w:t xml:space="preserve">06) </w:t>
      </w:r>
      <w:proofErr w:type="gramStart"/>
      <w:r>
        <w:rPr>
          <w:sz w:val="22"/>
          <w:szCs w:val="22"/>
        </w:rPr>
        <w:t>ibid.;</w:t>
      </w:r>
      <w:proofErr w:type="gramEnd"/>
      <w:r w:rsidRPr="00A865B4">
        <w:rPr>
          <w:sz w:val="22"/>
          <w:szCs w:val="22"/>
        </w:rPr>
        <w:t xml:space="preserve"> </w:t>
      </w:r>
      <w:r w:rsidRPr="00E156CF">
        <w:rPr>
          <w:sz w:val="22"/>
          <w:szCs w:val="22"/>
        </w:rPr>
        <w:t xml:space="preserve">Moses, B. (2008) Oh why the outcry about Gen Y.  </w:t>
      </w:r>
      <w:r w:rsidRPr="00E156CF">
        <w:rPr>
          <w:i/>
          <w:sz w:val="22"/>
          <w:szCs w:val="22"/>
        </w:rPr>
        <w:t>Globe and Mail</w:t>
      </w:r>
      <w:r w:rsidRPr="00E156CF">
        <w:rPr>
          <w:sz w:val="22"/>
          <w:szCs w:val="22"/>
        </w:rPr>
        <w:t>, March 28</w:t>
      </w:r>
    </w:p>
  </w:endnote>
  <w:endnote w:id="4">
    <w:p w14:paraId="70F7041D" w14:textId="77777777" w:rsidR="00D567EB" w:rsidRPr="00A865B4" w:rsidRDefault="00D567EB" w:rsidP="00D567EB">
      <w:pPr>
        <w:pStyle w:val="endnote"/>
        <w:spacing w:line="240" w:lineRule="auto"/>
        <w:rPr>
          <w:sz w:val="22"/>
          <w:szCs w:val="22"/>
        </w:rPr>
      </w:pPr>
      <w:r w:rsidRPr="00FD5BE4">
        <w:rPr>
          <w:rStyle w:val="EndnoteReference"/>
          <w:rFonts w:eastAsiaTheme="majorEastAsia"/>
          <w:sz w:val="22"/>
          <w:szCs w:val="22"/>
        </w:rPr>
        <w:endnoteRef/>
      </w:r>
      <w:r w:rsidRPr="00A865B4">
        <w:rPr>
          <w:sz w:val="22"/>
          <w:szCs w:val="22"/>
        </w:rPr>
        <w:t xml:space="preserve"> Spenser, L., &amp;</w:t>
      </w:r>
      <w:r>
        <w:rPr>
          <w:sz w:val="22"/>
          <w:szCs w:val="22"/>
        </w:rPr>
        <w:t xml:space="preserve"> Spenser, S. (1993)</w:t>
      </w:r>
      <w:r w:rsidRPr="00A865B4">
        <w:rPr>
          <w:sz w:val="22"/>
          <w:szCs w:val="22"/>
        </w:rPr>
        <w:t xml:space="preserve"> </w:t>
      </w:r>
      <w:r w:rsidRPr="00B83542">
        <w:rPr>
          <w:i/>
          <w:sz w:val="22"/>
          <w:szCs w:val="22"/>
        </w:rPr>
        <w:t>Competence at work: Models for superior performance.</w:t>
      </w:r>
      <w:r>
        <w:rPr>
          <w:sz w:val="22"/>
          <w:szCs w:val="22"/>
        </w:rPr>
        <w:t xml:space="preserve"> New York: John Wiley &amp; Sons; </w:t>
      </w:r>
      <w:proofErr w:type="spellStart"/>
      <w:r w:rsidRPr="00A865B4">
        <w:rPr>
          <w:sz w:val="22"/>
          <w:szCs w:val="22"/>
        </w:rPr>
        <w:t>Brousseau</w:t>
      </w:r>
      <w:proofErr w:type="spellEnd"/>
      <w:r w:rsidRPr="00A865B4">
        <w:rPr>
          <w:sz w:val="22"/>
          <w:szCs w:val="22"/>
        </w:rPr>
        <w:t>, K. R., Driver, M.,</w:t>
      </w:r>
      <w:r>
        <w:rPr>
          <w:sz w:val="22"/>
          <w:szCs w:val="22"/>
        </w:rPr>
        <w:t xml:space="preserve"> </w:t>
      </w:r>
      <w:proofErr w:type="spellStart"/>
      <w:r>
        <w:rPr>
          <w:sz w:val="22"/>
          <w:szCs w:val="22"/>
        </w:rPr>
        <w:t>Enroth</w:t>
      </w:r>
      <w:proofErr w:type="spellEnd"/>
      <w:r>
        <w:rPr>
          <w:sz w:val="22"/>
          <w:szCs w:val="22"/>
        </w:rPr>
        <w:t>, K.</w:t>
      </w:r>
      <w:proofErr w:type="gramStart"/>
      <w:r>
        <w:rPr>
          <w:sz w:val="22"/>
          <w:szCs w:val="22"/>
        </w:rPr>
        <w:t>,&amp;</w:t>
      </w:r>
      <w:proofErr w:type="gramEnd"/>
      <w:r>
        <w:rPr>
          <w:sz w:val="22"/>
          <w:szCs w:val="22"/>
        </w:rPr>
        <w:t xml:space="preserve"> </w:t>
      </w:r>
      <w:proofErr w:type="spellStart"/>
      <w:r>
        <w:rPr>
          <w:sz w:val="22"/>
          <w:szCs w:val="22"/>
        </w:rPr>
        <w:t>Larsson,R</w:t>
      </w:r>
      <w:proofErr w:type="spellEnd"/>
      <w:r>
        <w:rPr>
          <w:sz w:val="22"/>
          <w:szCs w:val="22"/>
        </w:rPr>
        <w:t>. (1996)</w:t>
      </w:r>
      <w:r w:rsidRPr="00A865B4">
        <w:rPr>
          <w:sz w:val="22"/>
          <w:szCs w:val="22"/>
        </w:rPr>
        <w:t xml:space="preserve"> Career pandemonium: Realigning organizations and individuals. </w:t>
      </w:r>
      <w:r w:rsidRPr="004122EE">
        <w:rPr>
          <w:i/>
          <w:sz w:val="22"/>
          <w:szCs w:val="22"/>
        </w:rPr>
        <w:t>The Academy of Management Executive,</w:t>
      </w:r>
      <w:r>
        <w:rPr>
          <w:sz w:val="22"/>
          <w:szCs w:val="22"/>
        </w:rPr>
        <w:t xml:space="preserve"> 10</w:t>
      </w:r>
      <w:r w:rsidRPr="00A865B4">
        <w:rPr>
          <w:sz w:val="22"/>
          <w:szCs w:val="22"/>
        </w:rPr>
        <w:t>:  52-56.</w:t>
      </w:r>
    </w:p>
  </w:endnote>
  <w:endnote w:id="5">
    <w:p w14:paraId="4F65B4D6" w14:textId="77777777" w:rsidR="00D567EB" w:rsidRPr="00A865B4" w:rsidRDefault="00D567EB" w:rsidP="00D567EB">
      <w:pPr>
        <w:pStyle w:val="endnote"/>
        <w:spacing w:line="240" w:lineRule="auto"/>
        <w:rPr>
          <w:sz w:val="22"/>
          <w:szCs w:val="22"/>
        </w:rPr>
      </w:pPr>
      <w:r w:rsidRPr="00FD5BE4">
        <w:rPr>
          <w:rStyle w:val="EndnoteReference"/>
          <w:rFonts w:eastAsiaTheme="majorEastAsia"/>
          <w:sz w:val="22"/>
          <w:szCs w:val="22"/>
        </w:rPr>
        <w:endnoteRef/>
      </w:r>
      <w:r>
        <w:rPr>
          <w:sz w:val="22"/>
          <w:szCs w:val="22"/>
        </w:rPr>
        <w:t xml:space="preserve"> Hall, D. T. (1996)</w:t>
      </w:r>
      <w:r w:rsidRPr="00A865B4">
        <w:rPr>
          <w:sz w:val="22"/>
          <w:szCs w:val="22"/>
        </w:rPr>
        <w:t xml:space="preserve"> </w:t>
      </w:r>
      <w:proofErr w:type="gramStart"/>
      <w:r w:rsidRPr="00A865B4">
        <w:rPr>
          <w:sz w:val="22"/>
          <w:szCs w:val="22"/>
        </w:rPr>
        <w:t>The</w:t>
      </w:r>
      <w:proofErr w:type="gramEnd"/>
      <w:r w:rsidRPr="00A865B4">
        <w:rPr>
          <w:sz w:val="22"/>
          <w:szCs w:val="22"/>
        </w:rPr>
        <w:t xml:space="preserve"> new Protean career: Psychological success and the path with a heart. In D. T. Hall &amp; M. H. </w:t>
      </w:r>
      <w:proofErr w:type="spellStart"/>
      <w:r w:rsidRPr="00A865B4">
        <w:rPr>
          <w:sz w:val="22"/>
          <w:szCs w:val="22"/>
        </w:rPr>
        <w:t>Mirvis</w:t>
      </w:r>
      <w:proofErr w:type="spellEnd"/>
      <w:r w:rsidRPr="00A865B4">
        <w:rPr>
          <w:sz w:val="22"/>
          <w:szCs w:val="22"/>
        </w:rPr>
        <w:t xml:space="preserve"> (Eds.), </w:t>
      </w:r>
      <w:proofErr w:type="gramStart"/>
      <w:r w:rsidRPr="004122EE">
        <w:rPr>
          <w:i/>
          <w:sz w:val="22"/>
          <w:szCs w:val="22"/>
        </w:rPr>
        <w:t>The</w:t>
      </w:r>
      <w:proofErr w:type="gramEnd"/>
      <w:r w:rsidRPr="004122EE">
        <w:rPr>
          <w:i/>
          <w:sz w:val="22"/>
          <w:szCs w:val="22"/>
        </w:rPr>
        <w:t xml:space="preserve"> career is dead - long live the career</w:t>
      </w:r>
      <w:r>
        <w:rPr>
          <w:sz w:val="22"/>
          <w:szCs w:val="22"/>
        </w:rPr>
        <w:t xml:space="preserve">. 1, </w:t>
      </w:r>
      <w:r w:rsidRPr="00A865B4">
        <w:rPr>
          <w:sz w:val="22"/>
          <w:szCs w:val="22"/>
        </w:rPr>
        <w:t xml:space="preserve">15 – 45. San Francisco: </w:t>
      </w:r>
      <w:proofErr w:type="spellStart"/>
      <w:r w:rsidRPr="00A865B4">
        <w:rPr>
          <w:sz w:val="22"/>
          <w:szCs w:val="22"/>
        </w:rPr>
        <w:t>Jossey</w:t>
      </w:r>
      <w:proofErr w:type="spellEnd"/>
      <w:r w:rsidRPr="00A865B4">
        <w:rPr>
          <w:sz w:val="22"/>
          <w:szCs w:val="22"/>
        </w:rPr>
        <w:t>-Bass.</w:t>
      </w:r>
    </w:p>
  </w:endnote>
  <w:endnote w:id="6">
    <w:p w14:paraId="0BD74997" w14:textId="77777777" w:rsidR="00D567EB" w:rsidRPr="00A865B4" w:rsidRDefault="00D567EB" w:rsidP="00D567EB">
      <w:pPr>
        <w:pStyle w:val="endnote"/>
        <w:spacing w:line="240" w:lineRule="auto"/>
        <w:rPr>
          <w:sz w:val="22"/>
          <w:szCs w:val="22"/>
        </w:rPr>
      </w:pPr>
      <w:r w:rsidRPr="00FD5BE4">
        <w:rPr>
          <w:rStyle w:val="EndnoteReference"/>
          <w:rFonts w:eastAsiaTheme="majorEastAsia"/>
          <w:sz w:val="22"/>
          <w:szCs w:val="22"/>
        </w:rPr>
        <w:endnoteRef/>
      </w:r>
      <w:r w:rsidRPr="00A865B4">
        <w:rPr>
          <w:sz w:val="22"/>
          <w:szCs w:val="22"/>
        </w:rPr>
        <w:t xml:space="preserve"> </w:t>
      </w:r>
      <w:proofErr w:type="gramStart"/>
      <w:r w:rsidRPr="00A865B4">
        <w:rPr>
          <w:sz w:val="22"/>
          <w:szCs w:val="22"/>
        </w:rPr>
        <w:t>Moses, (20</w:t>
      </w:r>
      <w:r>
        <w:rPr>
          <w:sz w:val="22"/>
          <w:szCs w:val="22"/>
        </w:rPr>
        <w:t>08) op. cit.;</w:t>
      </w:r>
      <w:r w:rsidRPr="00A865B4">
        <w:rPr>
          <w:sz w:val="22"/>
          <w:szCs w:val="22"/>
        </w:rPr>
        <w:t xml:space="preserve"> </w:t>
      </w:r>
      <w:r>
        <w:rPr>
          <w:sz w:val="22"/>
          <w:szCs w:val="22"/>
        </w:rPr>
        <w:t>Moses, (</w:t>
      </w:r>
      <w:r w:rsidRPr="00A865B4">
        <w:rPr>
          <w:sz w:val="22"/>
          <w:szCs w:val="22"/>
        </w:rPr>
        <w:t>2006)</w:t>
      </w:r>
      <w:r>
        <w:rPr>
          <w:sz w:val="22"/>
          <w:szCs w:val="22"/>
        </w:rPr>
        <w:t xml:space="preserve"> </w:t>
      </w:r>
      <w:proofErr w:type="spellStart"/>
      <w:r>
        <w:rPr>
          <w:sz w:val="22"/>
          <w:szCs w:val="22"/>
        </w:rPr>
        <w:t>op.cit</w:t>
      </w:r>
      <w:proofErr w:type="spellEnd"/>
      <w:r>
        <w:rPr>
          <w:sz w:val="22"/>
          <w:szCs w:val="22"/>
        </w:rPr>
        <w:t>.</w:t>
      </w:r>
      <w:proofErr w:type="gramEnd"/>
      <w:r>
        <w:rPr>
          <w:sz w:val="22"/>
          <w:szCs w:val="22"/>
        </w:rPr>
        <w:t xml:space="preserve"> </w:t>
      </w:r>
    </w:p>
    <w:p w14:paraId="5D2EE325" w14:textId="77777777" w:rsidR="00D567EB" w:rsidRPr="00FA506E" w:rsidRDefault="00D567EB" w:rsidP="001177B9">
      <w:pPr>
        <w:pStyle w:val="endnote"/>
        <w:spacing w:line="48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91486" w14:textId="77777777" w:rsidR="005E14D9" w:rsidRDefault="005E14D9"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83DE6E" w14:textId="77777777" w:rsidR="005E14D9" w:rsidRDefault="005E14D9" w:rsidP="005E1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F1B69" w14:textId="77777777" w:rsidR="005E14D9" w:rsidRDefault="005E14D9"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1FB">
      <w:rPr>
        <w:rStyle w:val="PageNumber"/>
        <w:noProof/>
      </w:rPr>
      <w:t>1</w:t>
    </w:r>
    <w:r>
      <w:rPr>
        <w:rStyle w:val="PageNumber"/>
      </w:rPr>
      <w:fldChar w:fldCharType="end"/>
    </w:r>
  </w:p>
  <w:p w14:paraId="3EF2F99F" w14:textId="77777777" w:rsidR="005E14D9" w:rsidRDefault="005E14D9" w:rsidP="005E1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43FC0" w14:textId="77777777" w:rsidR="002B3768" w:rsidRDefault="002B3768" w:rsidP="00CD6AC5">
      <w:pPr>
        <w:spacing w:line="240" w:lineRule="auto"/>
      </w:pPr>
      <w:r>
        <w:separator/>
      </w:r>
    </w:p>
  </w:footnote>
  <w:footnote w:type="continuationSeparator" w:id="0">
    <w:p w14:paraId="51D68316" w14:textId="77777777" w:rsidR="002B3768" w:rsidRDefault="002B3768" w:rsidP="00CD6A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E9F76" w14:textId="2021624C" w:rsidR="004711FB" w:rsidRDefault="004711FB" w:rsidP="004711FB">
    <w:pPr>
      <w:pStyle w:val="Header"/>
      <w:ind w:firstLine="0"/>
    </w:pPr>
    <w:r>
      <w:rPr>
        <w:sz w:val="20"/>
        <w:szCs w:val="20"/>
      </w:rPr>
      <w:t xml:space="preserve">J. Barton Cunningham, </w:t>
    </w:r>
    <w:r>
      <w:rPr>
        <w:i/>
        <w:sz w:val="20"/>
        <w:szCs w:val="20"/>
      </w:rPr>
      <w:t>Strategic Human Resource Management in the Public Arena</w:t>
    </w:r>
    <w:r>
      <w:rPr>
        <w:sz w:val="20"/>
        <w:szCs w:val="20"/>
      </w:rPr>
      <w:t>, Palgrave 2016</w:t>
    </w:r>
  </w:p>
  <w:p w14:paraId="182C9019" w14:textId="77777777" w:rsidR="004711FB" w:rsidRDefault="00471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61C"/>
    <w:multiLevelType w:val="hybridMultilevel"/>
    <w:tmpl w:val="797AA18E"/>
    <w:lvl w:ilvl="0" w:tplc="E556CA80">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856FBC"/>
    <w:multiLevelType w:val="hybridMultilevel"/>
    <w:tmpl w:val="BD480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10A52"/>
    <w:multiLevelType w:val="hybridMultilevel"/>
    <w:tmpl w:val="2F8A28EA"/>
    <w:lvl w:ilvl="0" w:tplc="1A06B0AC">
      <w:start w:val="1"/>
      <w:numFmt w:val="decimal"/>
      <w:lvlText w:val="%1."/>
      <w:lvlJc w:val="left"/>
      <w:pPr>
        <w:ind w:left="720" w:hanging="360"/>
      </w:pPr>
      <w:rPr>
        <w:rFonts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7AE79ED"/>
    <w:multiLevelType w:val="hybridMultilevel"/>
    <w:tmpl w:val="90A81C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490B0C"/>
    <w:multiLevelType w:val="hybridMultilevel"/>
    <w:tmpl w:val="E6A4B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92F3024"/>
    <w:multiLevelType w:val="hybridMultilevel"/>
    <w:tmpl w:val="08784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476418F"/>
    <w:multiLevelType w:val="hybridMultilevel"/>
    <w:tmpl w:val="98988E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F36F60"/>
    <w:multiLevelType w:val="hybridMultilevel"/>
    <w:tmpl w:val="298EB8F4"/>
    <w:lvl w:ilvl="0" w:tplc="7688DD1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61D249B"/>
    <w:multiLevelType w:val="hybridMultilevel"/>
    <w:tmpl w:val="229CFB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BCF2C41"/>
    <w:multiLevelType w:val="hybridMultilevel"/>
    <w:tmpl w:val="03C8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3"/>
  </w:num>
  <w:num w:numId="5">
    <w:abstractNumId w:val="0"/>
  </w:num>
  <w:num w:numId="6">
    <w:abstractNumId w:val="1"/>
  </w:num>
  <w:num w:numId="7">
    <w:abstractNumId w:val="7"/>
  </w:num>
  <w:num w:numId="8">
    <w:abstractNumId w:val="9"/>
  </w:num>
  <w:num w:numId="9">
    <w:abstractNumId w:val="6"/>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C5"/>
    <w:rsid w:val="00076402"/>
    <w:rsid w:val="000B46AE"/>
    <w:rsid w:val="000D6AA2"/>
    <w:rsid w:val="001177B9"/>
    <w:rsid w:val="001E19B9"/>
    <w:rsid w:val="002B3768"/>
    <w:rsid w:val="002D6009"/>
    <w:rsid w:val="002E36D6"/>
    <w:rsid w:val="00316B46"/>
    <w:rsid w:val="00343F31"/>
    <w:rsid w:val="003B0E85"/>
    <w:rsid w:val="003B2609"/>
    <w:rsid w:val="004255A2"/>
    <w:rsid w:val="0043724D"/>
    <w:rsid w:val="004711FB"/>
    <w:rsid w:val="00474CEA"/>
    <w:rsid w:val="0050077A"/>
    <w:rsid w:val="005C5A15"/>
    <w:rsid w:val="005E14D9"/>
    <w:rsid w:val="00627682"/>
    <w:rsid w:val="00687730"/>
    <w:rsid w:val="006C3F4C"/>
    <w:rsid w:val="007F303F"/>
    <w:rsid w:val="008338EA"/>
    <w:rsid w:val="008E1F1B"/>
    <w:rsid w:val="00945FD2"/>
    <w:rsid w:val="009857A3"/>
    <w:rsid w:val="00A5164C"/>
    <w:rsid w:val="00A82E01"/>
    <w:rsid w:val="00A871A5"/>
    <w:rsid w:val="00AB2771"/>
    <w:rsid w:val="00AD5495"/>
    <w:rsid w:val="00B45831"/>
    <w:rsid w:val="00B5624B"/>
    <w:rsid w:val="00B9335D"/>
    <w:rsid w:val="00BB7C4E"/>
    <w:rsid w:val="00BC0BC2"/>
    <w:rsid w:val="00C40E7E"/>
    <w:rsid w:val="00CD6AC5"/>
    <w:rsid w:val="00D0017F"/>
    <w:rsid w:val="00D567EB"/>
    <w:rsid w:val="00E52C8A"/>
    <w:rsid w:val="00E73A68"/>
    <w:rsid w:val="00E90D34"/>
    <w:rsid w:val="00EA564F"/>
    <w:rsid w:val="00F0554E"/>
    <w:rsid w:val="00F21A0B"/>
    <w:rsid w:val="00F77713"/>
    <w:rsid w:val="00F84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141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D6AC5"/>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8E1F1B"/>
    <w:pPr>
      <w:ind w:firstLine="0"/>
      <w:outlineLvl w:val="1"/>
    </w:pPr>
    <w:rPr>
      <w:rFonts w:eastAsiaTheme="majorEastAsia" w:cstheme="majorBidi"/>
      <w:b/>
      <w:bCs/>
      <w:color w:val="000000"/>
      <w:spacing w:val="-3"/>
      <w:sz w:val="28"/>
      <w:szCs w:val="2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9">
    <w:name w:val="heading 9"/>
    <w:basedOn w:val="Normal"/>
    <w:next w:val="Normal"/>
    <w:link w:val="Heading9Char"/>
    <w:uiPriority w:val="9"/>
    <w:semiHidden/>
    <w:unhideWhenUsed/>
    <w:qFormat/>
    <w:rsid w:val="003B0E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E1F1B"/>
    <w:rPr>
      <w:rFonts w:eastAsiaTheme="majorEastAsia" w:cstheme="majorBidi"/>
      <w:b/>
      <w:bCs/>
      <w:spacing w:val="-3"/>
      <w:sz w:val="28"/>
      <w:szCs w:val="28"/>
      <w:lang w:val="en-GB"/>
    </w:rPr>
  </w:style>
  <w:style w:type="paragraph" w:styleId="ListParagraph">
    <w:name w:val="List Paragraph"/>
    <w:basedOn w:val="Normal"/>
    <w:link w:val="ListParagraphChar"/>
    <w:autoRedefine/>
    <w:uiPriority w:val="34"/>
    <w:qFormat/>
    <w:rsid w:val="00F21A0B"/>
    <w:pPr>
      <w:numPr>
        <w:numId w:val="2"/>
      </w:numPr>
      <w:spacing w:line="240" w:lineRule="auto"/>
      <w:contextualSpacing/>
    </w:pPr>
    <w:rPr>
      <w:rFonts w:ascii="Verdana" w:eastAsiaTheme="minorHAnsi" w:hAnsi="Verdana"/>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F21A0B"/>
    <w:rPr>
      <w:rFonts w:ascii="Verdana" w:eastAsiaTheme="minorHAnsi" w:hAnsi="Verdana"/>
      <w:szCs w:val="22"/>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CD6AC5"/>
    <w:rPr>
      <w:vertAlign w:val="superscript"/>
    </w:rPr>
  </w:style>
  <w:style w:type="paragraph" w:styleId="NoSpacing">
    <w:name w:val="No Spacing"/>
    <w:basedOn w:val="Normal"/>
    <w:uiPriority w:val="99"/>
    <w:qFormat/>
    <w:rsid w:val="00CD6AC5"/>
    <w:pPr>
      <w:spacing w:line="240" w:lineRule="auto"/>
    </w:pPr>
    <w:rPr>
      <w:rFonts w:cs="Calibri"/>
    </w:rPr>
  </w:style>
  <w:style w:type="character" w:styleId="SubtleEmphasis">
    <w:name w:val="Subtle Emphasis"/>
    <w:basedOn w:val="DefaultParagraphFont"/>
    <w:uiPriority w:val="99"/>
    <w:qFormat/>
    <w:rsid w:val="00CD6AC5"/>
    <w:rPr>
      <w:i/>
      <w:iCs/>
    </w:rPr>
  </w:style>
  <w:style w:type="paragraph" w:customStyle="1" w:styleId="Box1Head">
    <w:name w:val="Box1Head"/>
    <w:basedOn w:val="Normal"/>
    <w:link w:val="Box1HeadChar"/>
    <w:qFormat/>
    <w:rsid w:val="00E52C8A"/>
    <w:pPr>
      <w:shd w:val="clear" w:color="auto" w:fill="DBE5F1" w:themeFill="accent1" w:themeFillTint="33"/>
      <w:ind w:firstLine="0"/>
      <w:outlineLvl w:val="3"/>
    </w:pPr>
    <w:rPr>
      <w:rFonts w:eastAsiaTheme="majorEastAsia" w:cstheme="majorBidi"/>
      <w:iCs/>
      <w:lang w:val="en-US"/>
    </w:rPr>
  </w:style>
  <w:style w:type="character" w:customStyle="1" w:styleId="Box1HeadChar">
    <w:name w:val="Box1Head Char"/>
    <w:basedOn w:val="DefaultParagraphFont"/>
    <w:link w:val="Box1Head"/>
    <w:rsid w:val="00E52C8A"/>
    <w:rPr>
      <w:rFonts w:eastAsiaTheme="majorEastAsia" w:cstheme="majorBidi"/>
      <w:iCs/>
      <w:color w:val="auto"/>
      <w:shd w:val="clear" w:color="auto" w:fill="DBE5F1" w:themeFill="accent1" w:themeFillTint="33"/>
      <w:lang w:eastAsia="en-US"/>
    </w:rPr>
  </w:style>
  <w:style w:type="paragraph" w:styleId="EndnoteText">
    <w:name w:val="endnote text"/>
    <w:basedOn w:val="Normal"/>
    <w:link w:val="EndnoteTextChar"/>
    <w:uiPriority w:val="99"/>
    <w:unhideWhenUsed/>
    <w:rsid w:val="00E52C8A"/>
    <w:pPr>
      <w:spacing w:line="240" w:lineRule="auto"/>
    </w:pPr>
  </w:style>
  <w:style w:type="character" w:customStyle="1" w:styleId="EndnoteTextChar">
    <w:name w:val="Endnote Text Char"/>
    <w:basedOn w:val="DefaultParagraphFont"/>
    <w:link w:val="EndnoteText"/>
    <w:uiPriority w:val="99"/>
    <w:rsid w:val="00E52C8A"/>
    <w:rPr>
      <w:rFonts w:eastAsia="Times New Roman"/>
      <w:color w:val="auto"/>
      <w:lang w:val="en-CA" w:eastAsia="en-US"/>
    </w:rPr>
  </w:style>
  <w:style w:type="paragraph" w:styleId="TOC2">
    <w:name w:val="toc 2"/>
    <w:basedOn w:val="Normal"/>
    <w:next w:val="Normal"/>
    <w:autoRedefine/>
    <w:uiPriority w:val="39"/>
    <w:unhideWhenUsed/>
    <w:rsid w:val="00AB2771"/>
    <w:pPr>
      <w:ind w:left="240"/>
    </w:pPr>
  </w:style>
  <w:style w:type="paragraph" w:styleId="TOC3">
    <w:name w:val="toc 3"/>
    <w:basedOn w:val="Normal"/>
    <w:next w:val="Normal"/>
    <w:autoRedefine/>
    <w:uiPriority w:val="39"/>
    <w:unhideWhenUsed/>
    <w:rsid w:val="00AB2771"/>
    <w:pPr>
      <w:ind w:left="480"/>
    </w:pPr>
  </w:style>
  <w:style w:type="paragraph" w:styleId="TOC4">
    <w:name w:val="toc 4"/>
    <w:basedOn w:val="Normal"/>
    <w:next w:val="Normal"/>
    <w:autoRedefine/>
    <w:uiPriority w:val="39"/>
    <w:unhideWhenUsed/>
    <w:rsid w:val="00AB2771"/>
    <w:pPr>
      <w:ind w:left="720"/>
    </w:pPr>
  </w:style>
  <w:style w:type="paragraph" w:styleId="TOC5">
    <w:name w:val="toc 5"/>
    <w:basedOn w:val="Normal"/>
    <w:next w:val="Normal"/>
    <w:autoRedefine/>
    <w:uiPriority w:val="39"/>
    <w:unhideWhenUsed/>
    <w:rsid w:val="00AB2771"/>
    <w:pPr>
      <w:ind w:left="960"/>
    </w:pPr>
  </w:style>
  <w:style w:type="paragraph" w:styleId="TOC6">
    <w:name w:val="toc 6"/>
    <w:basedOn w:val="Normal"/>
    <w:next w:val="Normal"/>
    <w:autoRedefine/>
    <w:uiPriority w:val="39"/>
    <w:unhideWhenUsed/>
    <w:rsid w:val="00AB2771"/>
    <w:pPr>
      <w:ind w:left="1200"/>
    </w:pPr>
  </w:style>
  <w:style w:type="paragraph" w:styleId="TOC7">
    <w:name w:val="toc 7"/>
    <w:basedOn w:val="Normal"/>
    <w:next w:val="Normal"/>
    <w:autoRedefine/>
    <w:uiPriority w:val="39"/>
    <w:unhideWhenUsed/>
    <w:rsid w:val="00AB2771"/>
    <w:pPr>
      <w:ind w:left="1440"/>
    </w:pPr>
  </w:style>
  <w:style w:type="paragraph" w:styleId="TOC8">
    <w:name w:val="toc 8"/>
    <w:basedOn w:val="Normal"/>
    <w:next w:val="Normal"/>
    <w:autoRedefine/>
    <w:uiPriority w:val="39"/>
    <w:unhideWhenUsed/>
    <w:rsid w:val="00AB2771"/>
    <w:pPr>
      <w:ind w:left="1680"/>
    </w:pPr>
  </w:style>
  <w:style w:type="paragraph" w:styleId="TOC9">
    <w:name w:val="toc 9"/>
    <w:basedOn w:val="Normal"/>
    <w:next w:val="Normal"/>
    <w:autoRedefine/>
    <w:uiPriority w:val="39"/>
    <w:unhideWhenUsed/>
    <w:rsid w:val="00AB2771"/>
    <w:pPr>
      <w:ind w:left="1920"/>
    </w:pPr>
  </w:style>
  <w:style w:type="paragraph" w:styleId="Title">
    <w:name w:val="Title"/>
    <w:basedOn w:val="Normal"/>
    <w:next w:val="Normal"/>
    <w:link w:val="TitleChar"/>
    <w:uiPriority w:val="99"/>
    <w:qFormat/>
    <w:rsid w:val="008E1F1B"/>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8E1F1B"/>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8E1F1B"/>
    <w:rPr>
      <w:i/>
      <w:iCs/>
      <w:spacing w:val="0"/>
    </w:rPr>
  </w:style>
  <w:style w:type="character" w:customStyle="1" w:styleId="Heading9Char">
    <w:name w:val="Heading 9 Char"/>
    <w:basedOn w:val="DefaultParagraphFont"/>
    <w:link w:val="Heading9"/>
    <w:uiPriority w:val="9"/>
    <w:semiHidden/>
    <w:rsid w:val="003B0E85"/>
    <w:rPr>
      <w:rFonts w:asciiTheme="majorHAnsi" w:eastAsiaTheme="majorEastAsia" w:hAnsiTheme="majorHAnsi" w:cstheme="majorBidi"/>
      <w:i/>
      <w:iCs/>
      <w:color w:val="404040" w:themeColor="text1" w:themeTint="BF"/>
      <w:sz w:val="20"/>
      <w:szCs w:val="20"/>
      <w:lang w:val="en-CA" w:eastAsia="en-US"/>
    </w:rPr>
  </w:style>
  <w:style w:type="paragraph" w:styleId="NormalWeb">
    <w:name w:val="Normal (Web)"/>
    <w:basedOn w:val="Normal"/>
    <w:uiPriority w:val="99"/>
    <w:rsid w:val="00D567EB"/>
    <w:pPr>
      <w:tabs>
        <w:tab w:val="right" w:pos="8640"/>
      </w:tabs>
      <w:spacing w:before="96" w:after="120" w:line="360" w:lineRule="atLeast"/>
      <w:ind w:firstLine="0"/>
      <w:jc w:val="both"/>
    </w:pPr>
    <w:rPr>
      <w:spacing w:val="-2"/>
    </w:rPr>
  </w:style>
  <w:style w:type="paragraph" w:styleId="BalloonText">
    <w:name w:val="Balloon Text"/>
    <w:basedOn w:val="Normal"/>
    <w:link w:val="BalloonTextChar"/>
    <w:uiPriority w:val="99"/>
    <w:semiHidden/>
    <w:unhideWhenUsed/>
    <w:rsid w:val="00474CE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CEA"/>
    <w:rPr>
      <w:rFonts w:ascii="Lucida Grande" w:eastAsia="Times New Roman" w:hAnsi="Lucida Grande" w:cs="Lucida Grande"/>
      <w:color w:val="auto"/>
      <w:sz w:val="18"/>
      <w:szCs w:val="18"/>
      <w:lang w:val="en-CA" w:eastAsia="en-US"/>
    </w:rPr>
  </w:style>
  <w:style w:type="paragraph" w:styleId="Footer">
    <w:name w:val="footer"/>
    <w:basedOn w:val="Normal"/>
    <w:link w:val="FooterChar"/>
    <w:uiPriority w:val="99"/>
    <w:unhideWhenUsed/>
    <w:rsid w:val="005E14D9"/>
    <w:pPr>
      <w:tabs>
        <w:tab w:val="center" w:pos="4320"/>
        <w:tab w:val="right" w:pos="8640"/>
      </w:tabs>
      <w:spacing w:line="240" w:lineRule="auto"/>
    </w:pPr>
  </w:style>
  <w:style w:type="character" w:customStyle="1" w:styleId="FooterChar">
    <w:name w:val="Footer Char"/>
    <w:basedOn w:val="DefaultParagraphFont"/>
    <w:link w:val="Footer"/>
    <w:uiPriority w:val="99"/>
    <w:rsid w:val="005E14D9"/>
    <w:rPr>
      <w:rFonts w:eastAsia="Times New Roman"/>
      <w:color w:val="auto"/>
      <w:lang w:val="en-CA" w:eastAsia="en-US"/>
    </w:rPr>
  </w:style>
  <w:style w:type="character" w:styleId="PageNumber">
    <w:name w:val="page number"/>
    <w:basedOn w:val="DefaultParagraphFont"/>
    <w:uiPriority w:val="99"/>
    <w:semiHidden/>
    <w:unhideWhenUsed/>
    <w:rsid w:val="005E14D9"/>
  </w:style>
  <w:style w:type="paragraph" w:styleId="Header">
    <w:name w:val="header"/>
    <w:basedOn w:val="Normal"/>
    <w:link w:val="HeaderChar"/>
    <w:uiPriority w:val="99"/>
    <w:unhideWhenUsed/>
    <w:rsid w:val="004711FB"/>
    <w:pPr>
      <w:tabs>
        <w:tab w:val="center" w:pos="4513"/>
        <w:tab w:val="right" w:pos="9026"/>
      </w:tabs>
      <w:spacing w:line="240" w:lineRule="auto"/>
    </w:pPr>
  </w:style>
  <w:style w:type="character" w:customStyle="1" w:styleId="HeaderChar">
    <w:name w:val="Header Char"/>
    <w:basedOn w:val="DefaultParagraphFont"/>
    <w:link w:val="Header"/>
    <w:uiPriority w:val="99"/>
    <w:rsid w:val="004711FB"/>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D6AC5"/>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8E1F1B"/>
    <w:pPr>
      <w:ind w:firstLine="0"/>
      <w:outlineLvl w:val="1"/>
    </w:pPr>
    <w:rPr>
      <w:rFonts w:eastAsiaTheme="majorEastAsia" w:cstheme="majorBidi"/>
      <w:b/>
      <w:bCs/>
      <w:color w:val="000000"/>
      <w:spacing w:val="-3"/>
      <w:sz w:val="28"/>
      <w:szCs w:val="2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9">
    <w:name w:val="heading 9"/>
    <w:basedOn w:val="Normal"/>
    <w:next w:val="Normal"/>
    <w:link w:val="Heading9Char"/>
    <w:uiPriority w:val="9"/>
    <w:semiHidden/>
    <w:unhideWhenUsed/>
    <w:qFormat/>
    <w:rsid w:val="003B0E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E1F1B"/>
    <w:rPr>
      <w:rFonts w:eastAsiaTheme="majorEastAsia" w:cstheme="majorBidi"/>
      <w:b/>
      <w:bCs/>
      <w:spacing w:val="-3"/>
      <w:sz w:val="28"/>
      <w:szCs w:val="28"/>
      <w:lang w:val="en-GB"/>
    </w:rPr>
  </w:style>
  <w:style w:type="paragraph" w:styleId="ListParagraph">
    <w:name w:val="List Paragraph"/>
    <w:basedOn w:val="Normal"/>
    <w:link w:val="ListParagraphChar"/>
    <w:autoRedefine/>
    <w:uiPriority w:val="34"/>
    <w:qFormat/>
    <w:rsid w:val="00F21A0B"/>
    <w:pPr>
      <w:numPr>
        <w:numId w:val="2"/>
      </w:numPr>
      <w:spacing w:line="240" w:lineRule="auto"/>
      <w:contextualSpacing/>
    </w:pPr>
    <w:rPr>
      <w:rFonts w:ascii="Verdana" w:eastAsiaTheme="minorHAnsi" w:hAnsi="Verdana"/>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F21A0B"/>
    <w:rPr>
      <w:rFonts w:ascii="Verdana" w:eastAsiaTheme="minorHAnsi" w:hAnsi="Verdana"/>
      <w:szCs w:val="22"/>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CD6AC5"/>
    <w:rPr>
      <w:vertAlign w:val="superscript"/>
    </w:rPr>
  </w:style>
  <w:style w:type="paragraph" w:styleId="NoSpacing">
    <w:name w:val="No Spacing"/>
    <w:basedOn w:val="Normal"/>
    <w:uiPriority w:val="99"/>
    <w:qFormat/>
    <w:rsid w:val="00CD6AC5"/>
    <w:pPr>
      <w:spacing w:line="240" w:lineRule="auto"/>
    </w:pPr>
    <w:rPr>
      <w:rFonts w:cs="Calibri"/>
    </w:rPr>
  </w:style>
  <w:style w:type="character" w:styleId="SubtleEmphasis">
    <w:name w:val="Subtle Emphasis"/>
    <w:basedOn w:val="DefaultParagraphFont"/>
    <w:uiPriority w:val="99"/>
    <w:qFormat/>
    <w:rsid w:val="00CD6AC5"/>
    <w:rPr>
      <w:i/>
      <w:iCs/>
    </w:rPr>
  </w:style>
  <w:style w:type="paragraph" w:customStyle="1" w:styleId="Box1Head">
    <w:name w:val="Box1Head"/>
    <w:basedOn w:val="Normal"/>
    <w:link w:val="Box1HeadChar"/>
    <w:qFormat/>
    <w:rsid w:val="00E52C8A"/>
    <w:pPr>
      <w:shd w:val="clear" w:color="auto" w:fill="DBE5F1" w:themeFill="accent1" w:themeFillTint="33"/>
      <w:ind w:firstLine="0"/>
      <w:outlineLvl w:val="3"/>
    </w:pPr>
    <w:rPr>
      <w:rFonts w:eastAsiaTheme="majorEastAsia" w:cstheme="majorBidi"/>
      <w:iCs/>
      <w:lang w:val="en-US"/>
    </w:rPr>
  </w:style>
  <w:style w:type="character" w:customStyle="1" w:styleId="Box1HeadChar">
    <w:name w:val="Box1Head Char"/>
    <w:basedOn w:val="DefaultParagraphFont"/>
    <w:link w:val="Box1Head"/>
    <w:rsid w:val="00E52C8A"/>
    <w:rPr>
      <w:rFonts w:eastAsiaTheme="majorEastAsia" w:cstheme="majorBidi"/>
      <w:iCs/>
      <w:color w:val="auto"/>
      <w:shd w:val="clear" w:color="auto" w:fill="DBE5F1" w:themeFill="accent1" w:themeFillTint="33"/>
      <w:lang w:eastAsia="en-US"/>
    </w:rPr>
  </w:style>
  <w:style w:type="paragraph" w:styleId="EndnoteText">
    <w:name w:val="endnote text"/>
    <w:basedOn w:val="Normal"/>
    <w:link w:val="EndnoteTextChar"/>
    <w:uiPriority w:val="99"/>
    <w:unhideWhenUsed/>
    <w:rsid w:val="00E52C8A"/>
    <w:pPr>
      <w:spacing w:line="240" w:lineRule="auto"/>
    </w:pPr>
  </w:style>
  <w:style w:type="character" w:customStyle="1" w:styleId="EndnoteTextChar">
    <w:name w:val="Endnote Text Char"/>
    <w:basedOn w:val="DefaultParagraphFont"/>
    <w:link w:val="EndnoteText"/>
    <w:uiPriority w:val="99"/>
    <w:rsid w:val="00E52C8A"/>
    <w:rPr>
      <w:rFonts w:eastAsia="Times New Roman"/>
      <w:color w:val="auto"/>
      <w:lang w:val="en-CA" w:eastAsia="en-US"/>
    </w:rPr>
  </w:style>
  <w:style w:type="paragraph" w:styleId="TOC2">
    <w:name w:val="toc 2"/>
    <w:basedOn w:val="Normal"/>
    <w:next w:val="Normal"/>
    <w:autoRedefine/>
    <w:uiPriority w:val="39"/>
    <w:unhideWhenUsed/>
    <w:rsid w:val="00AB2771"/>
    <w:pPr>
      <w:ind w:left="240"/>
    </w:pPr>
  </w:style>
  <w:style w:type="paragraph" w:styleId="TOC3">
    <w:name w:val="toc 3"/>
    <w:basedOn w:val="Normal"/>
    <w:next w:val="Normal"/>
    <w:autoRedefine/>
    <w:uiPriority w:val="39"/>
    <w:unhideWhenUsed/>
    <w:rsid w:val="00AB2771"/>
    <w:pPr>
      <w:ind w:left="480"/>
    </w:pPr>
  </w:style>
  <w:style w:type="paragraph" w:styleId="TOC4">
    <w:name w:val="toc 4"/>
    <w:basedOn w:val="Normal"/>
    <w:next w:val="Normal"/>
    <w:autoRedefine/>
    <w:uiPriority w:val="39"/>
    <w:unhideWhenUsed/>
    <w:rsid w:val="00AB2771"/>
    <w:pPr>
      <w:ind w:left="720"/>
    </w:pPr>
  </w:style>
  <w:style w:type="paragraph" w:styleId="TOC5">
    <w:name w:val="toc 5"/>
    <w:basedOn w:val="Normal"/>
    <w:next w:val="Normal"/>
    <w:autoRedefine/>
    <w:uiPriority w:val="39"/>
    <w:unhideWhenUsed/>
    <w:rsid w:val="00AB2771"/>
    <w:pPr>
      <w:ind w:left="960"/>
    </w:pPr>
  </w:style>
  <w:style w:type="paragraph" w:styleId="TOC6">
    <w:name w:val="toc 6"/>
    <w:basedOn w:val="Normal"/>
    <w:next w:val="Normal"/>
    <w:autoRedefine/>
    <w:uiPriority w:val="39"/>
    <w:unhideWhenUsed/>
    <w:rsid w:val="00AB2771"/>
    <w:pPr>
      <w:ind w:left="1200"/>
    </w:pPr>
  </w:style>
  <w:style w:type="paragraph" w:styleId="TOC7">
    <w:name w:val="toc 7"/>
    <w:basedOn w:val="Normal"/>
    <w:next w:val="Normal"/>
    <w:autoRedefine/>
    <w:uiPriority w:val="39"/>
    <w:unhideWhenUsed/>
    <w:rsid w:val="00AB2771"/>
    <w:pPr>
      <w:ind w:left="1440"/>
    </w:pPr>
  </w:style>
  <w:style w:type="paragraph" w:styleId="TOC8">
    <w:name w:val="toc 8"/>
    <w:basedOn w:val="Normal"/>
    <w:next w:val="Normal"/>
    <w:autoRedefine/>
    <w:uiPriority w:val="39"/>
    <w:unhideWhenUsed/>
    <w:rsid w:val="00AB2771"/>
    <w:pPr>
      <w:ind w:left="1680"/>
    </w:pPr>
  </w:style>
  <w:style w:type="paragraph" w:styleId="TOC9">
    <w:name w:val="toc 9"/>
    <w:basedOn w:val="Normal"/>
    <w:next w:val="Normal"/>
    <w:autoRedefine/>
    <w:uiPriority w:val="39"/>
    <w:unhideWhenUsed/>
    <w:rsid w:val="00AB2771"/>
    <w:pPr>
      <w:ind w:left="1920"/>
    </w:pPr>
  </w:style>
  <w:style w:type="paragraph" w:styleId="Title">
    <w:name w:val="Title"/>
    <w:basedOn w:val="Normal"/>
    <w:next w:val="Normal"/>
    <w:link w:val="TitleChar"/>
    <w:uiPriority w:val="99"/>
    <w:qFormat/>
    <w:rsid w:val="008E1F1B"/>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8E1F1B"/>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8E1F1B"/>
    <w:rPr>
      <w:i/>
      <w:iCs/>
      <w:spacing w:val="0"/>
    </w:rPr>
  </w:style>
  <w:style w:type="character" w:customStyle="1" w:styleId="Heading9Char">
    <w:name w:val="Heading 9 Char"/>
    <w:basedOn w:val="DefaultParagraphFont"/>
    <w:link w:val="Heading9"/>
    <w:uiPriority w:val="9"/>
    <w:semiHidden/>
    <w:rsid w:val="003B0E85"/>
    <w:rPr>
      <w:rFonts w:asciiTheme="majorHAnsi" w:eastAsiaTheme="majorEastAsia" w:hAnsiTheme="majorHAnsi" w:cstheme="majorBidi"/>
      <w:i/>
      <w:iCs/>
      <w:color w:val="404040" w:themeColor="text1" w:themeTint="BF"/>
      <w:sz w:val="20"/>
      <w:szCs w:val="20"/>
      <w:lang w:val="en-CA" w:eastAsia="en-US"/>
    </w:rPr>
  </w:style>
  <w:style w:type="paragraph" w:styleId="NormalWeb">
    <w:name w:val="Normal (Web)"/>
    <w:basedOn w:val="Normal"/>
    <w:uiPriority w:val="99"/>
    <w:rsid w:val="00D567EB"/>
    <w:pPr>
      <w:tabs>
        <w:tab w:val="right" w:pos="8640"/>
      </w:tabs>
      <w:spacing w:before="96" w:after="120" w:line="360" w:lineRule="atLeast"/>
      <w:ind w:firstLine="0"/>
      <w:jc w:val="both"/>
    </w:pPr>
    <w:rPr>
      <w:spacing w:val="-2"/>
    </w:rPr>
  </w:style>
  <w:style w:type="paragraph" w:styleId="BalloonText">
    <w:name w:val="Balloon Text"/>
    <w:basedOn w:val="Normal"/>
    <w:link w:val="BalloonTextChar"/>
    <w:uiPriority w:val="99"/>
    <w:semiHidden/>
    <w:unhideWhenUsed/>
    <w:rsid w:val="00474CE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CEA"/>
    <w:rPr>
      <w:rFonts w:ascii="Lucida Grande" w:eastAsia="Times New Roman" w:hAnsi="Lucida Grande" w:cs="Lucida Grande"/>
      <w:color w:val="auto"/>
      <w:sz w:val="18"/>
      <w:szCs w:val="18"/>
      <w:lang w:val="en-CA" w:eastAsia="en-US"/>
    </w:rPr>
  </w:style>
  <w:style w:type="paragraph" w:styleId="Footer">
    <w:name w:val="footer"/>
    <w:basedOn w:val="Normal"/>
    <w:link w:val="FooterChar"/>
    <w:uiPriority w:val="99"/>
    <w:unhideWhenUsed/>
    <w:rsid w:val="005E14D9"/>
    <w:pPr>
      <w:tabs>
        <w:tab w:val="center" w:pos="4320"/>
        <w:tab w:val="right" w:pos="8640"/>
      </w:tabs>
      <w:spacing w:line="240" w:lineRule="auto"/>
    </w:pPr>
  </w:style>
  <w:style w:type="character" w:customStyle="1" w:styleId="FooterChar">
    <w:name w:val="Footer Char"/>
    <w:basedOn w:val="DefaultParagraphFont"/>
    <w:link w:val="Footer"/>
    <w:uiPriority w:val="99"/>
    <w:rsid w:val="005E14D9"/>
    <w:rPr>
      <w:rFonts w:eastAsia="Times New Roman"/>
      <w:color w:val="auto"/>
      <w:lang w:val="en-CA" w:eastAsia="en-US"/>
    </w:rPr>
  </w:style>
  <w:style w:type="character" w:styleId="PageNumber">
    <w:name w:val="page number"/>
    <w:basedOn w:val="DefaultParagraphFont"/>
    <w:uiPriority w:val="99"/>
    <w:semiHidden/>
    <w:unhideWhenUsed/>
    <w:rsid w:val="005E14D9"/>
  </w:style>
  <w:style w:type="paragraph" w:styleId="Header">
    <w:name w:val="header"/>
    <w:basedOn w:val="Normal"/>
    <w:link w:val="HeaderChar"/>
    <w:uiPriority w:val="99"/>
    <w:unhideWhenUsed/>
    <w:rsid w:val="004711FB"/>
    <w:pPr>
      <w:tabs>
        <w:tab w:val="center" w:pos="4513"/>
        <w:tab w:val="right" w:pos="9026"/>
      </w:tabs>
      <w:spacing w:line="240" w:lineRule="auto"/>
    </w:pPr>
  </w:style>
  <w:style w:type="character" w:customStyle="1" w:styleId="HeaderChar">
    <w:name w:val="Header Char"/>
    <w:basedOn w:val="DefaultParagraphFont"/>
    <w:link w:val="Header"/>
    <w:uiPriority w:val="99"/>
    <w:rsid w:val="004711FB"/>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26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434B1-A3A3-4340-AB39-BD1957D1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874</Words>
  <Characters>4985</Characters>
  <Application>Microsoft Office Word</Application>
  <DocSecurity>0</DocSecurity>
  <Lines>41</Lines>
  <Paragraphs>11</Paragraphs>
  <ScaleCrop>false</ScaleCrop>
  <Company>UVic</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18</cp:revision>
  <dcterms:created xsi:type="dcterms:W3CDTF">2015-03-27T22:07:00Z</dcterms:created>
  <dcterms:modified xsi:type="dcterms:W3CDTF">2016-08-03T08:32:00Z</dcterms:modified>
</cp:coreProperties>
</file>