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EA" w:rsidRPr="0004090E" w:rsidRDefault="0004090E" w:rsidP="0004090E">
      <w:pPr>
        <w:autoSpaceDE w:val="0"/>
        <w:autoSpaceDN w:val="0"/>
        <w:adjustRightInd w:val="0"/>
        <w:spacing w:after="0" w:line="240" w:lineRule="auto"/>
        <w:jc w:val="center"/>
        <w:rPr>
          <w:rFonts w:cs="CenturyGothic-Bold"/>
          <w:b/>
          <w:bCs/>
          <w:color w:val="12349B"/>
          <w:sz w:val="24"/>
          <w:szCs w:val="24"/>
        </w:rPr>
      </w:pPr>
      <w:r w:rsidRPr="0004090E">
        <w:rPr>
          <w:rFonts w:cs="CenturyGothic-Bold"/>
          <w:b/>
          <w:bCs/>
          <w:color w:val="12349B"/>
          <w:sz w:val="24"/>
          <w:szCs w:val="24"/>
        </w:rPr>
        <w:t>Chapter 23 Summary</w:t>
      </w:r>
    </w:p>
    <w:p w:rsidR="00BF2170" w:rsidRPr="0004090E" w:rsidRDefault="00BF2170">
      <w:pPr>
        <w:rP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The primary objective of this chapter was to introduce the method of bootstrap sampling, which is becoming popular in applied econometrics. The classical linear regression model, the workhorse of econometrics, is based on the critical assumption that the regression error terms are independently and identically distributed (IID) as a normal distribution with zero mean and constant variance.</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With this assumption, it is easy to show that the OLS estimators of the regression parameters are best linear biased estimators (BLUE) of their population values. With the normality assumption, it was easy to establish that the OLS estimators are themselves normally distributed. As a result, it was easy to establish confidence intervals and test hypotheses regarding the population values of the estimators.</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In many situations the assumption that the error terms are IID may not be tenable. In that case, one has to resort to the large sample, or asymptotic, theory to derive the statistical properties of the estimators, such as asymptotic normality. However, the results of the asymptotic theory are difficult to apply in finite samples.</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In these situations, one can use bootstrap sampling to derive the sampling distributions of the OLS estimators, particularly the standard errors of the estimators. Without that, it is not possible to establish confidence intervals and test statistical hypothesis.</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The key feature of bootstrap sampling is that we have a random sample from some population of interest and from that single sample we draw repeated samples, equal in size to the original sample, but with the important proviso that every time we draw a member of the sample we put it back before drawing another member from the original sample. This is called sampling with replacement. We can draw as many bootstrap samples as we want. In practice, we may have to draw 500 or more</w:t>
      </w:r>
    </w:p>
    <w:p w:rsidR="00733CEA" w:rsidRPr="0004090E" w:rsidRDefault="00733CEA" w:rsidP="00733CEA">
      <w:pPr>
        <w:autoSpaceDE w:val="0"/>
        <w:autoSpaceDN w:val="0"/>
        <w:adjustRightInd w:val="0"/>
        <w:spacing w:after="0" w:line="240" w:lineRule="auto"/>
        <w:rPr>
          <w:rFonts w:cs="WarnockPro-Regular"/>
          <w:sz w:val="24"/>
          <w:szCs w:val="24"/>
        </w:rPr>
      </w:pPr>
      <w:proofErr w:type="gramStart"/>
      <w:r w:rsidRPr="0004090E">
        <w:rPr>
          <w:rFonts w:cs="WarnockPro-Regular"/>
          <w:sz w:val="24"/>
          <w:szCs w:val="24"/>
        </w:rPr>
        <w:t>bootstrap</w:t>
      </w:r>
      <w:proofErr w:type="gramEnd"/>
      <w:r w:rsidRPr="0004090E">
        <w:rPr>
          <w:rFonts w:cs="WarnockPro-Regular"/>
          <w:sz w:val="24"/>
          <w:szCs w:val="24"/>
        </w:rPr>
        <w:t xml:space="preserve"> samples.</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From the bootstrap samples, we can obtain the empirical frequency distributions (EFD) of the parameters of the model. From the EFD, we can estimate the mean value of the parameters and their standard errors and then engage in statistical inference – confidence intervals and hypothesis testing.</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 xml:space="preserve">We considered four methods of establishing confidence intervals: (1) the normal approximation, (2) the percentile method, (3) the bias-corrected (BC) and accelerated bias-corrected (ABC) methods, and (4) the percentile </w:t>
      </w:r>
      <w:r w:rsidRPr="0004090E">
        <w:rPr>
          <w:rFonts w:cs="WarnockPro-It"/>
          <w:i/>
          <w:iCs/>
          <w:sz w:val="24"/>
          <w:szCs w:val="24"/>
        </w:rPr>
        <w:t xml:space="preserve">t </w:t>
      </w:r>
      <w:r w:rsidRPr="0004090E">
        <w:rPr>
          <w:rFonts w:cs="WarnockPro-Regular"/>
          <w:sz w:val="24"/>
          <w:szCs w:val="24"/>
        </w:rPr>
        <w:t>method. We discussed the pros and cons of each method and illustrated them with a simple example of 50 bootstrap samples from the standard normal distribution.</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 xml:space="preserve">We also discussed the use of these methods in regression </w:t>
      </w:r>
      <w:proofErr w:type="spellStart"/>
      <w:r w:rsidRPr="0004090E">
        <w:rPr>
          <w:rFonts w:cs="WarnockPro-Regular"/>
          <w:sz w:val="24"/>
          <w:szCs w:val="24"/>
        </w:rPr>
        <w:t>modeling</w:t>
      </w:r>
      <w:proofErr w:type="spellEnd"/>
      <w:r w:rsidRPr="0004090E">
        <w:rPr>
          <w:rFonts w:cs="WarnockPro-Regular"/>
          <w:sz w:val="24"/>
          <w:szCs w:val="24"/>
        </w:rPr>
        <w:t xml:space="preserve">. In particular, we estimated the wage regression model first introduced in Chapter 1, using 500 bootstrap samples, and showed how we interpret the results. Since the sample size in this example </w:t>
      </w:r>
      <w:r w:rsidRPr="0004090E">
        <w:rPr>
          <w:rFonts w:cs="WarnockPro-Regular"/>
          <w:sz w:val="24"/>
          <w:szCs w:val="24"/>
        </w:rPr>
        <w:lastRenderedPageBreak/>
        <w:t>was fairly large (</w:t>
      </w:r>
      <w:r w:rsidRPr="0004090E">
        <w:rPr>
          <w:rFonts w:cs="WarnockPro-It"/>
          <w:i/>
          <w:iCs/>
          <w:sz w:val="24"/>
          <w:szCs w:val="24"/>
        </w:rPr>
        <w:t xml:space="preserve">n </w:t>
      </w:r>
      <w:r w:rsidRPr="0004090E">
        <w:rPr>
          <w:rFonts w:cs="WarnockPro-Regular"/>
          <w:sz w:val="24"/>
          <w:szCs w:val="24"/>
        </w:rPr>
        <w:t xml:space="preserve">= 1,289), the results of the bootstrap methods and the standard OLS method do not differ vastly. Of course, that may not be case in nonlinear parameter models, models with substantial number of outliers, models with </w:t>
      </w:r>
      <w:proofErr w:type="spellStart"/>
      <w:r w:rsidRPr="0004090E">
        <w:rPr>
          <w:rFonts w:cs="WarnockPro-Regular"/>
          <w:sz w:val="24"/>
          <w:szCs w:val="24"/>
        </w:rPr>
        <w:t>heteroscedastic</w:t>
      </w:r>
      <w:proofErr w:type="spellEnd"/>
      <w:r w:rsidRPr="0004090E">
        <w:rPr>
          <w:rFonts w:cs="WarnockPro-Regular"/>
          <w:sz w:val="24"/>
          <w:szCs w:val="24"/>
        </w:rPr>
        <w:t xml:space="preserve"> error terms, or models involving ratio variables.</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Although a very useful empirical tool, we discussed the pros and cons of bootstrapping. Bootstrapping may not be appropriate if the original sample is not a random sample. Other situations where bootstrapping might fail are: (1) if the sample size is too small, (2) distributions with infinite moments, (3) estimating extreme values, and (4) survey sampling.</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 xml:space="preserve">In parametric problems, like regression analysis, we have several diagnostic tools to check on the assumptions underlying the analysis. Since non-parametric sampling, such as bootstrapping, involves minimal assumptions, it may not be easy to assess the conditions in which bootstrapping may work or fail. However, some diagnostic tools have been developed for assessing non-parametric bootstrap. </w:t>
      </w:r>
      <w:proofErr w:type="spellStart"/>
      <w:r w:rsidRPr="0004090E">
        <w:rPr>
          <w:rFonts w:cs="WarnockPro-Regular"/>
          <w:sz w:val="24"/>
          <w:szCs w:val="24"/>
        </w:rPr>
        <w:t>Efron</w:t>
      </w:r>
      <w:proofErr w:type="spellEnd"/>
      <w:r w:rsidRPr="0004090E">
        <w:rPr>
          <w:rFonts w:cs="WarnockPro-Regular"/>
          <w:sz w:val="24"/>
          <w:szCs w:val="24"/>
        </w:rPr>
        <w:t xml:space="preserve"> (1992), for</w:t>
      </w:r>
      <w:r w:rsidRPr="0004090E">
        <w:rPr>
          <w:sz w:val="24"/>
          <w:szCs w:val="24"/>
        </w:rPr>
        <w:t xml:space="preserve"> </w:t>
      </w:r>
      <w:r w:rsidRPr="0004090E">
        <w:rPr>
          <w:rFonts w:cs="WarnockPro-Regular"/>
          <w:sz w:val="24"/>
          <w:szCs w:val="24"/>
        </w:rPr>
        <w:t xml:space="preserve">example, introduced the concept of a </w:t>
      </w:r>
      <w:proofErr w:type="spellStart"/>
      <w:r w:rsidRPr="0004090E">
        <w:rPr>
          <w:rFonts w:cs="WarnockPro-Regular"/>
          <w:sz w:val="24"/>
          <w:szCs w:val="24"/>
        </w:rPr>
        <w:t>jackknife</w:t>
      </w:r>
      <w:proofErr w:type="spellEnd"/>
      <w:r w:rsidRPr="0004090E">
        <w:rPr>
          <w:rFonts w:cs="WarnockPro-Regular"/>
          <w:sz w:val="24"/>
          <w:szCs w:val="24"/>
        </w:rPr>
        <w:t>-after-bootstrap measure to assess the non-parametric bootstrap.</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 xml:space="preserve">The basic idea behind </w:t>
      </w:r>
      <w:proofErr w:type="spellStart"/>
      <w:r w:rsidRPr="0004090E">
        <w:rPr>
          <w:rFonts w:cs="WarnockPro-Regular"/>
          <w:sz w:val="24"/>
          <w:szCs w:val="24"/>
        </w:rPr>
        <w:t>jackknifing</w:t>
      </w:r>
      <w:proofErr w:type="spellEnd"/>
      <w:r w:rsidRPr="0004090E">
        <w:rPr>
          <w:rFonts w:cs="WarnockPro-Regular"/>
          <w:sz w:val="24"/>
          <w:szCs w:val="24"/>
        </w:rPr>
        <w:t xml:space="preserve"> is to take repeated subsamples of the original sample, eliminating observations one at a time, and see the effect on the original bootstrap calculations. Of course, this is computationally very intensive, for we would be repeating bootstrap resampling n times, n being the original sample size.</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Research on bootstrapping is evolving and the reader is urged to surf the Internet for the latest developments in the field.</w:t>
      </w:r>
    </w:p>
    <w:p w:rsidR="00733CEA" w:rsidRPr="0004090E" w:rsidRDefault="00733CEA" w:rsidP="00733CEA">
      <w:pPr>
        <w:autoSpaceDE w:val="0"/>
        <w:autoSpaceDN w:val="0"/>
        <w:adjustRightInd w:val="0"/>
        <w:spacing w:after="0" w:line="240" w:lineRule="auto"/>
        <w:rPr>
          <w:rFonts w:cs="WarnockPro-Regular"/>
          <w:sz w:val="24"/>
          <w:szCs w:val="24"/>
        </w:rPr>
      </w:pPr>
    </w:p>
    <w:p w:rsidR="00733CEA" w:rsidRPr="0004090E" w:rsidRDefault="00733CEA" w:rsidP="00733CEA">
      <w:pPr>
        <w:autoSpaceDE w:val="0"/>
        <w:autoSpaceDN w:val="0"/>
        <w:adjustRightInd w:val="0"/>
        <w:spacing w:after="0" w:line="240" w:lineRule="auto"/>
        <w:rPr>
          <w:rFonts w:cs="WarnockPro-Regular"/>
          <w:sz w:val="24"/>
          <w:szCs w:val="24"/>
        </w:rPr>
      </w:pPr>
      <w:r w:rsidRPr="0004090E">
        <w:rPr>
          <w:rFonts w:cs="WarnockPro-Regular"/>
          <w:sz w:val="24"/>
          <w:szCs w:val="24"/>
        </w:rPr>
        <w:t>Since the objective of this chapter was to give the bare essentials of bootstrapping, we have not touched on many aspects of this topic, such as bootstrap vs. asymptotic tests, the (statistical) power of bootstrap tests vs. exact tests, the power of bootstrap hypothesis tests, and the like. The interested reader may consult the references.</w:t>
      </w:r>
    </w:p>
    <w:sectPr w:rsidR="00733CEA" w:rsidRPr="000409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0E" w:rsidRDefault="0004090E" w:rsidP="0004090E">
      <w:pPr>
        <w:spacing w:after="0" w:line="240" w:lineRule="auto"/>
      </w:pPr>
      <w:r>
        <w:separator/>
      </w:r>
    </w:p>
  </w:endnote>
  <w:endnote w:type="continuationSeparator" w:id="0">
    <w:p w:rsidR="0004090E" w:rsidRDefault="0004090E" w:rsidP="0004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Gothic-Bold">
    <w:panose1 w:val="00000000000000000000"/>
    <w:charset w:val="00"/>
    <w:family w:val="swiss"/>
    <w:notTrueType/>
    <w:pitch w:val="default"/>
    <w:sig w:usb0="00000003" w:usb1="00000000" w:usb2="00000000" w:usb3="00000000" w:csb0="00000001" w:csb1="00000000"/>
  </w:font>
  <w:font w:name="WarnockPro-Regular">
    <w:panose1 w:val="00000000000000000000"/>
    <w:charset w:val="00"/>
    <w:family w:val="auto"/>
    <w:notTrueType/>
    <w:pitch w:val="default"/>
    <w:sig w:usb0="00000003" w:usb1="00000000" w:usb2="00000000" w:usb3="00000000" w:csb0="00000001" w:csb1="00000000"/>
  </w:font>
  <w:font w:name="WarnockPro-I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0E" w:rsidRDefault="00040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0E" w:rsidRPr="00033297" w:rsidRDefault="0004090E" w:rsidP="0004090E">
    <w:pPr>
      <w:pStyle w:val="Header"/>
      <w:rPr>
        <w:rFonts w:cs="Arial"/>
        <w:i/>
        <w:sz w:val="18"/>
        <w:szCs w:val="18"/>
      </w:rPr>
    </w:pPr>
    <w:r>
      <w:rPr>
        <w:rFonts w:cs="Arial"/>
        <w:i/>
        <w:sz w:val="18"/>
        <w:szCs w:val="18"/>
      </w:rPr>
      <w:t>Econometrics by Example</w:t>
    </w:r>
    <w:r>
      <w:rPr>
        <w:rFonts w:eastAsiaTheme="majorEastAsia" w:cs="Arial"/>
        <w:sz w:val="18"/>
        <w:szCs w:val="18"/>
      </w:rPr>
      <w:t xml:space="preserve">, second edition, © </w:t>
    </w:r>
    <w:proofErr w:type="spellStart"/>
    <w:r>
      <w:rPr>
        <w:rFonts w:eastAsiaTheme="majorEastAsia" w:cs="Arial"/>
        <w:sz w:val="18"/>
        <w:szCs w:val="18"/>
      </w:rPr>
      <w:t>Damodar</w:t>
    </w:r>
    <w:proofErr w:type="spellEnd"/>
    <w:r>
      <w:rPr>
        <w:rFonts w:eastAsiaTheme="majorEastAsia" w:cs="Arial"/>
        <w:sz w:val="18"/>
        <w:szCs w:val="18"/>
      </w:rPr>
      <w:t xml:space="preserve"> Gujarati</w:t>
    </w:r>
    <w:r w:rsidRPr="00C3252F">
      <w:rPr>
        <w:rFonts w:eastAsiaTheme="majorEastAsia" w:cs="Arial"/>
        <w:sz w:val="18"/>
        <w:szCs w:val="18"/>
      </w:rPr>
      <w:t>, 2014</w:t>
    </w:r>
    <w:r>
      <w:rPr>
        <w:rFonts w:eastAsiaTheme="majorEastAsia" w:cs="Arial"/>
        <w:sz w:val="18"/>
        <w:szCs w:val="18"/>
      </w:rPr>
      <w:t xml:space="preserve">. </w:t>
    </w:r>
  </w:p>
  <w:p w:rsidR="0004090E" w:rsidRPr="00C3252F" w:rsidRDefault="0004090E" w:rsidP="0004090E">
    <w:pPr>
      <w:pStyle w:val="Footer"/>
      <w:rPr>
        <w:rFonts w:cs="Arial"/>
        <w:sz w:val="18"/>
        <w:szCs w:val="18"/>
      </w:rPr>
    </w:pPr>
    <w:r w:rsidRPr="00C3252F">
      <w:rPr>
        <w:rFonts w:cs="Arial"/>
        <w:sz w:val="18"/>
        <w:szCs w:val="18"/>
      </w:rPr>
      <w:t xml:space="preserve">For more resources visit </w:t>
    </w:r>
    <w:hyperlink r:id="rId1" w:history="1">
      <w:r w:rsidRPr="004E0747">
        <w:rPr>
          <w:rStyle w:val="Hyperlink"/>
          <w:rFonts w:cs="Arial"/>
          <w:sz w:val="18"/>
          <w:szCs w:val="18"/>
        </w:rPr>
        <w:t>http://www.palgrave.com/companion/gujarati-econometrics-by-example-2e/</w:t>
      </w:r>
    </w:hyperlink>
    <w:r>
      <w:rPr>
        <w:rFonts w:cs="Arial"/>
        <w:sz w:val="18"/>
        <w:szCs w:val="18"/>
      </w:rPr>
      <w:t xml:space="preserve">. </w:t>
    </w:r>
  </w:p>
  <w:p w:rsidR="0004090E" w:rsidRDefault="0004090E">
    <w:pPr>
      <w:pStyle w:val="Footer"/>
    </w:pPr>
    <w:bookmarkStart w:id="0" w:name="_GoBack"/>
    <w:bookmarkEnd w:id="0"/>
  </w:p>
  <w:p w:rsidR="0004090E" w:rsidRDefault="000409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0E" w:rsidRDefault="00040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0E" w:rsidRDefault="0004090E" w:rsidP="0004090E">
      <w:pPr>
        <w:spacing w:after="0" w:line="240" w:lineRule="auto"/>
      </w:pPr>
      <w:r>
        <w:separator/>
      </w:r>
    </w:p>
  </w:footnote>
  <w:footnote w:type="continuationSeparator" w:id="0">
    <w:p w:rsidR="0004090E" w:rsidRDefault="0004090E" w:rsidP="00040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0E" w:rsidRDefault="00040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0E" w:rsidRDefault="000409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0E" w:rsidRDefault="00040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EA"/>
    <w:rsid w:val="0004090E"/>
    <w:rsid w:val="002B2B6F"/>
    <w:rsid w:val="00563CF7"/>
    <w:rsid w:val="00733CEA"/>
    <w:rsid w:val="00BF2170"/>
    <w:rsid w:val="00CA3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90E"/>
  </w:style>
  <w:style w:type="paragraph" w:styleId="Footer">
    <w:name w:val="footer"/>
    <w:basedOn w:val="Normal"/>
    <w:link w:val="FooterChar"/>
    <w:uiPriority w:val="99"/>
    <w:unhideWhenUsed/>
    <w:rsid w:val="00040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90E"/>
  </w:style>
  <w:style w:type="paragraph" w:styleId="BalloonText">
    <w:name w:val="Balloon Text"/>
    <w:basedOn w:val="Normal"/>
    <w:link w:val="BalloonTextChar"/>
    <w:uiPriority w:val="99"/>
    <w:semiHidden/>
    <w:unhideWhenUsed/>
    <w:rsid w:val="0004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0E"/>
    <w:rPr>
      <w:rFonts w:ascii="Tahoma" w:hAnsi="Tahoma" w:cs="Tahoma"/>
      <w:sz w:val="16"/>
      <w:szCs w:val="16"/>
    </w:rPr>
  </w:style>
  <w:style w:type="character" w:styleId="Hyperlink">
    <w:name w:val="Hyperlink"/>
    <w:basedOn w:val="DefaultParagraphFont"/>
    <w:uiPriority w:val="99"/>
    <w:unhideWhenUsed/>
    <w:rsid w:val="00040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90E"/>
  </w:style>
  <w:style w:type="paragraph" w:styleId="Footer">
    <w:name w:val="footer"/>
    <w:basedOn w:val="Normal"/>
    <w:link w:val="FooterChar"/>
    <w:uiPriority w:val="99"/>
    <w:unhideWhenUsed/>
    <w:rsid w:val="00040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90E"/>
  </w:style>
  <w:style w:type="paragraph" w:styleId="BalloonText">
    <w:name w:val="Balloon Text"/>
    <w:basedOn w:val="Normal"/>
    <w:link w:val="BalloonTextChar"/>
    <w:uiPriority w:val="99"/>
    <w:semiHidden/>
    <w:unhideWhenUsed/>
    <w:rsid w:val="0004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90E"/>
    <w:rPr>
      <w:rFonts w:ascii="Tahoma" w:hAnsi="Tahoma" w:cs="Tahoma"/>
      <w:sz w:val="16"/>
      <w:szCs w:val="16"/>
    </w:rPr>
  </w:style>
  <w:style w:type="character" w:styleId="Hyperlink">
    <w:name w:val="Hyperlink"/>
    <w:basedOn w:val="DefaultParagraphFont"/>
    <w:uiPriority w:val="99"/>
    <w:unhideWhenUsed/>
    <w:rsid w:val="00040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grave.com/companion/gujarati-econometrics-by-example-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Lauren</dc:creator>
  <cp:lastModifiedBy>Zimmerman, Lauren</cp:lastModifiedBy>
  <cp:revision>2</cp:revision>
  <dcterms:created xsi:type="dcterms:W3CDTF">2014-09-19T13:53:00Z</dcterms:created>
  <dcterms:modified xsi:type="dcterms:W3CDTF">2014-09-19T14:52:00Z</dcterms:modified>
</cp:coreProperties>
</file>