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D13" w:rsidRPr="00694D13" w:rsidRDefault="00694D13" w:rsidP="00694D13">
      <w:pPr>
        <w:pStyle w:val="NoSpacing"/>
        <w:jc w:val="right"/>
        <w:rPr>
          <w:b/>
          <w:color w:val="548DD4" w:themeColor="text2" w:themeTint="99"/>
          <w:sz w:val="28"/>
        </w:rPr>
      </w:pPr>
      <w:r w:rsidRPr="00694D13">
        <w:rPr>
          <w:b/>
          <w:color w:val="548DD4" w:themeColor="text2" w:themeTint="99"/>
          <w:sz w:val="28"/>
        </w:rPr>
        <w:t xml:space="preserve">Chapter 10 </w:t>
      </w:r>
    </w:p>
    <w:p w:rsidR="00694D13" w:rsidRPr="00694D13" w:rsidRDefault="00694D13" w:rsidP="00694D13">
      <w:pPr>
        <w:pStyle w:val="NoSpacing"/>
        <w:jc w:val="right"/>
        <w:rPr>
          <w:b/>
          <w:color w:val="548DD4" w:themeColor="text2" w:themeTint="99"/>
          <w:sz w:val="28"/>
        </w:rPr>
      </w:pPr>
      <w:r w:rsidRPr="00694D13">
        <w:rPr>
          <w:b/>
          <w:color w:val="548DD4" w:themeColor="text2" w:themeTint="99"/>
          <w:sz w:val="28"/>
        </w:rPr>
        <w:t>Employee Relations and Conflict Management</w:t>
      </w:r>
    </w:p>
    <w:p w:rsidR="00694D13" w:rsidRDefault="00694D13" w:rsidP="005E4AB3">
      <w:pPr>
        <w:pStyle w:val="Heading3"/>
        <w:rPr>
          <w:rFonts w:asciiTheme="minorHAnsi" w:eastAsia="Calibri" w:hAnsiTheme="minorHAnsi" w:cstheme="minorHAnsi"/>
          <w:caps/>
          <w:noProof w:val="0"/>
          <w:color w:val="548DD4" w:themeColor="text2" w:themeTint="99"/>
          <w:sz w:val="36"/>
        </w:rPr>
      </w:pPr>
    </w:p>
    <w:p w:rsidR="008920AA" w:rsidRPr="00694D13" w:rsidRDefault="008920AA" w:rsidP="005E4AB3">
      <w:pPr>
        <w:pStyle w:val="Heading3"/>
        <w:rPr>
          <w:rFonts w:asciiTheme="minorHAnsi" w:eastAsia="Calibri" w:hAnsiTheme="minorHAnsi" w:cstheme="minorHAnsi"/>
          <w:noProof w:val="0"/>
          <w:color w:val="548DD4" w:themeColor="text2" w:themeTint="99"/>
          <w:sz w:val="36"/>
        </w:rPr>
      </w:pPr>
      <w:r w:rsidRPr="00694D13">
        <w:rPr>
          <w:rFonts w:asciiTheme="minorHAnsi" w:eastAsia="Calibri" w:hAnsiTheme="minorHAnsi" w:cstheme="minorHAnsi"/>
          <w:caps/>
          <w:noProof w:val="0"/>
          <w:color w:val="548DD4" w:themeColor="text2" w:themeTint="99"/>
          <w:sz w:val="36"/>
        </w:rPr>
        <w:t xml:space="preserve">hrm </w:t>
      </w:r>
      <w:r w:rsidRPr="00694D13">
        <w:rPr>
          <w:rFonts w:asciiTheme="minorHAnsi" w:eastAsia="Calibri" w:hAnsiTheme="minorHAnsi" w:cstheme="minorHAnsi"/>
          <w:noProof w:val="0"/>
          <w:color w:val="548DD4" w:themeColor="text2" w:themeTint="99"/>
          <w:sz w:val="36"/>
        </w:rPr>
        <w:t>in practice</w:t>
      </w:r>
      <w:r w:rsidRPr="00694D13">
        <w:rPr>
          <w:rFonts w:asciiTheme="minorHAnsi" w:eastAsia="Calibri" w:hAnsiTheme="minorHAnsi" w:cstheme="minorHAnsi"/>
          <w:b w:val="0"/>
          <w:noProof w:val="0"/>
          <w:color w:val="548DD4" w:themeColor="text2" w:themeTint="99"/>
          <w:sz w:val="36"/>
        </w:rPr>
        <w:t> </w:t>
      </w:r>
    </w:p>
    <w:p w:rsidR="008920AA" w:rsidRDefault="008920AA" w:rsidP="00694D13">
      <w:pPr>
        <w:pStyle w:val="Heading3"/>
        <w:rPr>
          <w:rFonts w:asciiTheme="minorHAnsi" w:eastAsia="Calibri" w:hAnsiTheme="minorHAnsi" w:cstheme="minorHAnsi"/>
          <w:noProof w:val="0"/>
          <w:color w:val="548DD4" w:themeColor="text2" w:themeTint="99"/>
          <w:sz w:val="36"/>
        </w:rPr>
      </w:pPr>
      <w:r w:rsidRPr="00694D13">
        <w:rPr>
          <w:rFonts w:asciiTheme="minorHAnsi" w:eastAsia="Calibri" w:hAnsiTheme="minorHAnsi" w:cstheme="minorHAnsi"/>
          <w:noProof w:val="0"/>
          <w:color w:val="548DD4" w:themeColor="text2" w:themeTint="99"/>
          <w:sz w:val="36"/>
        </w:rPr>
        <w:t>Creating union-free workplaces</w:t>
      </w:r>
      <w:r w:rsidR="00694D13">
        <w:rPr>
          <w:rFonts w:asciiTheme="minorHAnsi" w:eastAsia="Calibri" w:hAnsiTheme="minorHAnsi" w:cstheme="minorHAnsi"/>
          <w:noProof w:val="0"/>
          <w:color w:val="548DD4" w:themeColor="text2" w:themeTint="99"/>
          <w:sz w:val="36"/>
        </w:rPr>
        <w:t xml:space="preserve"> </w:t>
      </w:r>
    </w:p>
    <w:p w:rsidR="00694D13" w:rsidRDefault="00694D13" w:rsidP="008920AA">
      <w:pPr>
        <w:pStyle w:val="Feature1stPara-HRMFeature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8920AA" w:rsidRPr="00694D13" w:rsidRDefault="008920AA" w:rsidP="008920AA">
      <w:pPr>
        <w:pStyle w:val="Feature1stPara-HRMFeature"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</w:pPr>
      <w:r w:rsidRPr="00694D13"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  <w:t xml:space="preserve">This chapter examines some of the reasons why management introduces employee voice systems. They may be introduced as a deliberate HR strategy of union avoidance. This is achieved by establishing an employee relations system that emulates a union-based system, as this writer suggests (Knight, 2011, pp. 20–2): </w:t>
      </w:r>
    </w:p>
    <w:p w:rsidR="008920AA" w:rsidRPr="00694D13" w:rsidRDefault="008920AA" w:rsidP="008920AA">
      <w:pPr>
        <w:pStyle w:val="FeatureDQFeature"/>
        <w:spacing w:after="0"/>
        <w:jc w:val="both"/>
        <w:rPr>
          <w:rFonts w:asciiTheme="minorHAnsi" w:eastAsia="Calibri" w:hAnsiTheme="minorHAnsi" w:cstheme="minorHAnsi"/>
          <w:i w:val="0"/>
          <w:iCs w:val="0"/>
          <w:color w:val="auto"/>
          <w:sz w:val="24"/>
          <w:szCs w:val="24"/>
          <w:lang w:val="en-CA"/>
        </w:rPr>
      </w:pPr>
      <w:r w:rsidRPr="00694D13">
        <w:rPr>
          <w:rFonts w:asciiTheme="minorHAnsi" w:eastAsia="Calibri" w:hAnsiTheme="minorHAnsi" w:cstheme="minorHAnsi"/>
          <w:i w:val="0"/>
          <w:iCs w:val="0"/>
          <w:color w:val="auto"/>
          <w:sz w:val="24"/>
          <w:szCs w:val="24"/>
          <w:lang w:val="en-CA"/>
        </w:rPr>
        <w:t>There is no magic formula for keeping unions at bay … While it is unhealthy to manage in a perpetual state of crisis, driven at all times by a fear of union organizing, it is useful to maintain a healthy respect for that possibility. To avoid this prospect, management should understand the union’s sales pitch and bargaining objectives. Then, to the extent possible and always in a manner consistent with the primary objectives of the organization, management should try to replicate much of what the union would promise to employees in an organizing drive – it is difficult for a union to sell something that is already being provided by management. Some of the key aspects of a unionized workplace that non-union workplaces may strive to emulate include:</w:t>
      </w:r>
    </w:p>
    <w:p w:rsidR="008920AA" w:rsidRPr="00694D13" w:rsidRDefault="008920AA" w:rsidP="008920AA">
      <w:pPr>
        <w:pStyle w:val="FeatureBull2Feature"/>
        <w:numPr>
          <w:ilvl w:val="0"/>
          <w:numId w:val="1"/>
        </w:numPr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</w:pPr>
      <w:r w:rsidRPr="00694D13"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  <w:t>Recognition of service or seniority as a key factor in compensation, vacation entitlement, job security …</w:t>
      </w:r>
    </w:p>
    <w:p w:rsidR="008920AA" w:rsidRPr="00694D13" w:rsidRDefault="008920AA" w:rsidP="008920AA">
      <w:pPr>
        <w:pStyle w:val="FeatureBull2Feature"/>
        <w:numPr>
          <w:ilvl w:val="0"/>
          <w:numId w:val="1"/>
        </w:numPr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</w:pPr>
      <w:r w:rsidRPr="00694D13"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  <w:t>A structured complaints procedure that could double as an employee suggestions procedure that ensures employees have a clearly understood and formal vehicle for reacting to management decisions, including disciplinary decisions</w:t>
      </w:r>
    </w:p>
    <w:p w:rsidR="008920AA" w:rsidRPr="00694D13" w:rsidRDefault="008920AA" w:rsidP="008920AA">
      <w:pPr>
        <w:pStyle w:val="FeatureBull2Feature"/>
        <w:numPr>
          <w:ilvl w:val="0"/>
          <w:numId w:val="1"/>
        </w:numPr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</w:pPr>
      <w:r w:rsidRPr="00694D13"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  <w:t>An effective dispute-resolution mechanism, even if it’s simply a clear acknowledgement a manager will make a final decision that will be communicated to the effected employee(s).</w:t>
      </w:r>
    </w:p>
    <w:p w:rsidR="008920AA" w:rsidRPr="00694D13" w:rsidRDefault="008920AA" w:rsidP="008920AA">
      <w:pPr>
        <w:pStyle w:val="Feature2-HRMFeature"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</w:pPr>
      <w:r w:rsidRPr="00694D13"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  <w:t xml:space="preserve">One of the proposed management-initiated direct employee voice systems – a structured complaints procedure – is examined in detail in this chapter. Critics tend to be sceptical of employee voice systems because of the shift from a union focus towards an individually oriented focus. Non-unionism avoids the restrictions found in a collective agreement as well as potential intervention of a third party (for example, an arbitrator) in grievance disputes. Other critics of direct employee voice tend to be influenced by </w:t>
      </w:r>
      <w:proofErr w:type="spellStart"/>
      <w:r w:rsidRPr="00694D13"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  <w:t>Foucauldian</w:t>
      </w:r>
      <w:proofErr w:type="spellEnd"/>
      <w:r w:rsidRPr="00694D13"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  <w:t xml:space="preserve"> theory, which sees such HR practices as making workers’ behaviour more manageable (see, for example, </w:t>
      </w:r>
      <w:proofErr w:type="spellStart"/>
      <w:r w:rsidRPr="00694D13"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  <w:t>Townley</w:t>
      </w:r>
      <w:proofErr w:type="spellEnd"/>
      <w:r w:rsidRPr="00694D13"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  <w:t xml:space="preserve">, 1994). </w:t>
      </w:r>
    </w:p>
    <w:p w:rsidR="005E4AB3" w:rsidRPr="00694D13" w:rsidRDefault="008920AA" w:rsidP="008920AA">
      <w:pPr>
        <w:pStyle w:val="Feature2-HRMFeature"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</w:pPr>
      <w:r w:rsidRPr="00694D13">
        <w:rPr>
          <w:rFonts w:asciiTheme="minorHAnsi" w:eastAsia="Calibri" w:hAnsiTheme="minorHAnsi" w:cstheme="minorHAnsi"/>
          <w:b/>
          <w:color w:val="auto"/>
          <w:sz w:val="24"/>
          <w:szCs w:val="24"/>
          <w:lang w:val="en-CA"/>
        </w:rPr>
        <w:t>Stop!</w:t>
      </w:r>
      <w:r w:rsidRPr="00694D13"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  <w:t xml:space="preserve"> What are the likely benefits for managers of a direct employee voice system in the workplace? Should trade unions be concerned about the introduction of an EI mechanism? If so, why or why not? </w:t>
      </w:r>
    </w:p>
    <w:p w:rsidR="00694D13" w:rsidRDefault="00694D13" w:rsidP="00694D13">
      <w:pPr>
        <w:pStyle w:val="Feature2-HRMFeature"/>
        <w:jc w:val="both"/>
        <w:rPr>
          <w:rFonts w:asciiTheme="minorHAnsi" w:eastAsia="Calibri" w:hAnsiTheme="minorHAnsi" w:cstheme="minorHAnsi"/>
          <w:b/>
          <w:sz w:val="24"/>
          <w:szCs w:val="24"/>
          <w:lang w:val="en-CA"/>
        </w:rPr>
      </w:pPr>
    </w:p>
    <w:p w:rsidR="00694D13" w:rsidRDefault="008920AA" w:rsidP="00694D13">
      <w:pPr>
        <w:pStyle w:val="Feature2-HRMFeature"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</w:pPr>
      <w:r w:rsidRPr="00694D13">
        <w:rPr>
          <w:rFonts w:asciiTheme="minorHAnsi" w:eastAsia="Calibri" w:hAnsiTheme="minorHAnsi" w:cstheme="minorHAnsi"/>
          <w:b/>
          <w:sz w:val="24"/>
          <w:szCs w:val="24"/>
          <w:lang w:val="en-CA"/>
        </w:rPr>
        <w:t xml:space="preserve">Sources and further </w:t>
      </w:r>
      <w:r w:rsidR="00694D13">
        <w:rPr>
          <w:rFonts w:asciiTheme="minorHAnsi" w:eastAsia="Calibri" w:hAnsiTheme="minorHAnsi" w:cstheme="minorHAnsi"/>
          <w:b/>
          <w:sz w:val="24"/>
          <w:szCs w:val="24"/>
          <w:lang w:val="en-CA"/>
        </w:rPr>
        <w:t>informatio</w:t>
      </w:r>
      <w:r w:rsidRPr="00694D13">
        <w:rPr>
          <w:rFonts w:asciiTheme="minorHAnsi" w:eastAsia="Calibri" w:hAnsiTheme="minorHAnsi" w:cstheme="minorHAnsi"/>
          <w:b/>
          <w:sz w:val="24"/>
          <w:szCs w:val="24"/>
          <w:lang w:val="en-CA"/>
        </w:rPr>
        <w:t xml:space="preserve">n: </w:t>
      </w:r>
      <w:r w:rsidRPr="00694D13"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  <w:t xml:space="preserve">The extract is taken from Jamie Knight’s article ‘Union-free shops strong in HR’ (Knight, 2011). See also Ackers et al. (2005) for more information. </w:t>
      </w:r>
    </w:p>
    <w:p w:rsidR="00694D13" w:rsidRDefault="00694D13" w:rsidP="00694D13">
      <w:pPr>
        <w:pStyle w:val="Feature2-HRMFeature"/>
        <w:jc w:val="both"/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</w:pPr>
    </w:p>
    <w:p w:rsidR="007C1FA9" w:rsidRPr="00694D13" w:rsidRDefault="008920AA" w:rsidP="00694D13">
      <w:pPr>
        <w:pStyle w:val="Feature2-HRMFeature"/>
        <w:jc w:val="both"/>
        <w:rPr>
          <w:rFonts w:asciiTheme="minorHAnsi" w:eastAsia="Calibri" w:hAnsiTheme="minorHAnsi" w:cstheme="minorHAnsi"/>
          <w:b/>
          <w:sz w:val="24"/>
          <w:szCs w:val="24"/>
          <w:lang w:val="en-CA"/>
        </w:rPr>
      </w:pPr>
      <w:r w:rsidRPr="00694D13">
        <w:rPr>
          <w:rFonts w:asciiTheme="minorHAnsi" w:eastAsia="Calibri" w:hAnsiTheme="minorHAnsi" w:cstheme="minorHAnsi"/>
          <w:b/>
          <w:sz w:val="24"/>
          <w:szCs w:val="24"/>
          <w:lang w:val="en-CA"/>
        </w:rPr>
        <w:t>Note:</w:t>
      </w:r>
      <w:r w:rsidRPr="00694D13">
        <w:rPr>
          <w:rFonts w:asciiTheme="minorHAnsi" w:eastAsia="Calibri" w:hAnsiTheme="minorHAnsi" w:cstheme="minorHAnsi"/>
          <w:color w:val="auto"/>
          <w:sz w:val="24"/>
          <w:szCs w:val="24"/>
          <w:lang w:val="en-CA"/>
        </w:rPr>
        <w:t xml:space="preserve"> This feature was written by John Bratton.</w:t>
      </w:r>
      <w:bookmarkStart w:id="0" w:name="_GoBack"/>
      <w:bookmarkEnd w:id="0"/>
    </w:p>
    <w:sectPr w:rsidR="007C1FA9" w:rsidRPr="00694D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LTStd-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Roma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Comp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LTStd-Ob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LTStd-Bl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96952"/>
    <w:multiLevelType w:val="hybridMultilevel"/>
    <w:tmpl w:val="70FCED7E"/>
    <w:lvl w:ilvl="0" w:tplc="04090001">
      <w:start w:val="1"/>
      <w:numFmt w:val="bullet"/>
      <w:lvlText w:val=""/>
      <w:lvlJc w:val="left"/>
      <w:pPr>
        <w:tabs>
          <w:tab w:val="num" w:pos="947"/>
        </w:tabs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0AA"/>
    <w:rsid w:val="005E4AB3"/>
    <w:rsid w:val="00694D13"/>
    <w:rsid w:val="007974A1"/>
    <w:rsid w:val="007C1FA9"/>
    <w:rsid w:val="0089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D8DE5"/>
  <w15:docId w15:val="{7B622C2A-43D5-442D-BAB3-FC01FAB1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5E4AB3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noProof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atureHdFeature">
    <w:name w:val="FeatureHd (Feature)"/>
    <w:basedOn w:val="Normal"/>
    <w:uiPriority w:val="99"/>
    <w:rsid w:val="008920AA"/>
    <w:pPr>
      <w:keepNext/>
      <w:keepLines/>
      <w:widowControl w:val="0"/>
      <w:suppressAutoHyphens/>
      <w:autoSpaceDE w:val="0"/>
      <w:autoSpaceDN w:val="0"/>
      <w:adjustRightInd w:val="0"/>
      <w:spacing w:before="360" w:after="120" w:line="370" w:lineRule="atLeast"/>
      <w:jc w:val="right"/>
      <w:textAlignment w:val="center"/>
    </w:pPr>
    <w:rPr>
      <w:rFonts w:ascii="HelveticaLTStd-Bold" w:eastAsia="Times New Roman" w:hAnsi="HelveticaLTStd-Bold" w:cs="HelveticaLTStd-Bold"/>
      <w:b/>
      <w:bCs/>
      <w:color w:val="000000"/>
      <w:sz w:val="33"/>
      <w:szCs w:val="33"/>
    </w:rPr>
  </w:style>
  <w:style w:type="paragraph" w:customStyle="1" w:styleId="Feature2-HRMFeature">
    <w:name w:val="Feature2-HRM (Feature)"/>
    <w:basedOn w:val="Normal"/>
    <w:uiPriority w:val="99"/>
    <w:rsid w:val="008920AA"/>
    <w:pPr>
      <w:widowControl w:val="0"/>
      <w:suppressAutoHyphens/>
      <w:autoSpaceDE w:val="0"/>
      <w:autoSpaceDN w:val="0"/>
      <w:adjustRightInd w:val="0"/>
      <w:spacing w:before="113" w:after="0" w:line="225" w:lineRule="atLeast"/>
      <w:textAlignment w:val="center"/>
    </w:pPr>
    <w:rPr>
      <w:rFonts w:ascii="HelveticaLTStd-Roman" w:eastAsia="Times New Roman" w:hAnsi="HelveticaLTStd-Roman" w:cs="HelveticaLTStd-Roman"/>
      <w:color w:val="000000"/>
      <w:sz w:val="17"/>
      <w:szCs w:val="17"/>
    </w:rPr>
  </w:style>
  <w:style w:type="paragraph" w:customStyle="1" w:styleId="Feature1stPara-HRMFeature">
    <w:name w:val="Feature1stPara-HRM (Feature)"/>
    <w:basedOn w:val="Normal"/>
    <w:uiPriority w:val="99"/>
    <w:rsid w:val="008920AA"/>
    <w:pPr>
      <w:widowControl w:val="0"/>
      <w:suppressAutoHyphens/>
      <w:autoSpaceDE w:val="0"/>
      <w:autoSpaceDN w:val="0"/>
      <w:adjustRightInd w:val="0"/>
      <w:spacing w:after="0" w:line="225" w:lineRule="atLeast"/>
      <w:textAlignment w:val="center"/>
    </w:pPr>
    <w:rPr>
      <w:rFonts w:ascii="HelveticaLTStd-Roman" w:eastAsia="Times New Roman" w:hAnsi="HelveticaLTStd-Roman" w:cs="HelveticaLTStd-Roman"/>
      <w:color w:val="000000"/>
      <w:sz w:val="17"/>
      <w:szCs w:val="17"/>
    </w:rPr>
  </w:style>
  <w:style w:type="paragraph" w:customStyle="1" w:styleId="FeatureTitleFeature">
    <w:name w:val="FeatureTitle (Feature)"/>
    <w:basedOn w:val="Normal"/>
    <w:uiPriority w:val="99"/>
    <w:rsid w:val="008920AA"/>
    <w:pPr>
      <w:keepNext/>
      <w:keepLines/>
      <w:widowControl w:val="0"/>
      <w:suppressAutoHyphens/>
      <w:autoSpaceDE w:val="0"/>
      <w:autoSpaceDN w:val="0"/>
      <w:adjustRightInd w:val="0"/>
      <w:spacing w:after="0" w:line="425" w:lineRule="atLeast"/>
      <w:textAlignment w:val="center"/>
    </w:pPr>
    <w:rPr>
      <w:rFonts w:ascii="HelveticaLTStd-Comp" w:eastAsia="Times New Roman" w:hAnsi="HelveticaLTStd-Comp" w:cs="HelveticaLTStd-Comp"/>
      <w:color w:val="FFFFFF"/>
      <w:sz w:val="49"/>
      <w:szCs w:val="49"/>
    </w:rPr>
  </w:style>
  <w:style w:type="paragraph" w:customStyle="1" w:styleId="FeatureDQFeature">
    <w:name w:val="FeatureDQ (Feature)"/>
    <w:basedOn w:val="Normal"/>
    <w:uiPriority w:val="99"/>
    <w:rsid w:val="008920AA"/>
    <w:pPr>
      <w:widowControl w:val="0"/>
      <w:suppressAutoHyphens/>
      <w:autoSpaceDE w:val="0"/>
      <w:autoSpaceDN w:val="0"/>
      <w:adjustRightInd w:val="0"/>
      <w:spacing w:before="113" w:after="113" w:line="225" w:lineRule="atLeast"/>
      <w:ind w:left="227"/>
      <w:textAlignment w:val="center"/>
    </w:pPr>
    <w:rPr>
      <w:rFonts w:ascii="HelveticaLTStd-Obl" w:eastAsia="Times New Roman" w:hAnsi="HelveticaLTStd-Obl" w:cs="HelveticaLTStd-Obl"/>
      <w:i/>
      <w:iCs/>
      <w:color w:val="000000"/>
      <w:sz w:val="17"/>
      <w:szCs w:val="17"/>
    </w:rPr>
  </w:style>
  <w:style w:type="paragraph" w:customStyle="1" w:styleId="FeatureBull2Feature">
    <w:name w:val="FeatureBull2 (Feature)"/>
    <w:basedOn w:val="Normal"/>
    <w:uiPriority w:val="99"/>
    <w:rsid w:val="008920AA"/>
    <w:pPr>
      <w:widowControl w:val="0"/>
      <w:suppressAutoHyphens/>
      <w:autoSpaceDE w:val="0"/>
      <w:autoSpaceDN w:val="0"/>
      <w:adjustRightInd w:val="0"/>
      <w:spacing w:after="0" w:line="225" w:lineRule="atLeast"/>
      <w:ind w:left="227" w:hanging="227"/>
      <w:textAlignment w:val="center"/>
    </w:pPr>
    <w:rPr>
      <w:rFonts w:ascii="HelveticaLTStd-Roman" w:eastAsia="Times New Roman" w:hAnsi="HelveticaLTStd-Roman" w:cs="HelveticaLTStd-Roman"/>
      <w:color w:val="000000"/>
      <w:sz w:val="17"/>
      <w:szCs w:val="17"/>
    </w:rPr>
  </w:style>
  <w:style w:type="character" w:customStyle="1" w:styleId="FeaturenoFeature">
    <w:name w:val="Feature(no) (Feature)"/>
    <w:uiPriority w:val="99"/>
    <w:rsid w:val="008920AA"/>
    <w:rPr>
      <w:rFonts w:ascii="HelveticaLTStd-Blk" w:hAnsi="HelveticaLTStd-Blk"/>
      <w:color w:val="009EE3"/>
      <w:sz w:val="29"/>
    </w:rPr>
  </w:style>
  <w:style w:type="character" w:customStyle="1" w:styleId="Bold">
    <w:name w:val="Bold"/>
    <w:uiPriority w:val="99"/>
    <w:rsid w:val="008920AA"/>
    <w:rPr>
      <w:b/>
    </w:rPr>
  </w:style>
  <w:style w:type="character" w:customStyle="1" w:styleId="FeatureHRMFeature">
    <w:name w:val="Feature(HRM) (Feature)"/>
    <w:uiPriority w:val="99"/>
    <w:rsid w:val="008920AA"/>
    <w:rPr>
      <w:rFonts w:ascii="HelveticaLTStd-Comp" w:hAnsi="HelveticaLTStd-Comp"/>
      <w:caps/>
      <w:color w:val="009EE3"/>
      <w:spacing w:val="5"/>
      <w:sz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AB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5E4AB3"/>
    <w:rPr>
      <w:rFonts w:ascii="Arial" w:eastAsia="Times New Roman" w:hAnsi="Arial" w:cs="Arial"/>
      <w:b/>
      <w:bCs/>
      <w:noProof/>
      <w:szCs w:val="24"/>
    </w:rPr>
  </w:style>
  <w:style w:type="paragraph" w:styleId="NoSpacing">
    <w:name w:val="No Spacing"/>
    <w:uiPriority w:val="1"/>
    <w:qFormat/>
    <w:rsid w:val="00694D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Macmillan Publishing Ltd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Jayatunga, Nikini</dc:creator>
  <cp:lastModifiedBy>Sophiya Ali</cp:lastModifiedBy>
  <cp:revision>2</cp:revision>
  <dcterms:created xsi:type="dcterms:W3CDTF">2022-01-19T19:00:00Z</dcterms:created>
  <dcterms:modified xsi:type="dcterms:W3CDTF">2022-01-19T19:00:00Z</dcterms:modified>
</cp:coreProperties>
</file>