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BDF" w:rsidRDefault="00682BDF">
      <w:pPr>
        <w:pStyle w:val="LATINTX"/>
        <w:rPr>
          <w:rStyle w:val="latin"/>
          <w:sz w:val="20"/>
        </w:rPr>
      </w:pPr>
    </w:p>
    <w:p w:rsidR="00397923" w:rsidRDefault="00397923">
      <w:pPr>
        <w:pStyle w:val="LATINTX"/>
        <w:rPr>
          <w:rStyle w:val="latin"/>
          <w:sz w:val="20"/>
        </w:rPr>
      </w:pPr>
    </w:p>
    <w:p w:rsidR="001D02A0" w:rsidRPr="00682BDF" w:rsidRDefault="001D02A0">
      <w:pPr>
        <w:pStyle w:val="LATINTX"/>
        <w:rPr>
          <w:sz w:val="20"/>
        </w:rPr>
      </w:pPr>
      <w:r w:rsidRPr="00682BDF">
        <w:rPr>
          <w:rStyle w:val="latin"/>
          <w:sz w:val="20"/>
        </w:rPr>
        <w:t>Catō erat vir cl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rus. multī 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m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nī eum laud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bant quod in bellīs fortiter pugn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bat, d</w:t>
      </w:r>
      <w:r w:rsidRPr="00682BDF">
        <w:rPr>
          <w:rStyle w:val="accent"/>
          <w:sz w:val="20"/>
        </w:rPr>
        <w:t>ē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lēgibus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multa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intellēxit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et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ōrātiōnēs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bon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s scrīb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bat. quamquam 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mae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auctōritātem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magnam hab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bat, saepe in agrīs suīs lab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r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re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mālēbat</w:t>
      </w:r>
      <w:r w:rsidRPr="00682BDF">
        <w:rPr>
          <w:rStyle w:val="latin"/>
          <w:sz w:val="20"/>
        </w:rPr>
        <w:t>. saepe Cat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 xml:space="preserve"> s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 xml:space="preserve"> laud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bat: ‘ego sum c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vis 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m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nus, sed quoque agricola: is qu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agr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su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amat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patriam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suam quoque amat. ego sum c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vis bonus.’</w:t>
      </w:r>
      <w:r w:rsidRPr="00682BDF">
        <w:rPr>
          <w:sz w:val="20"/>
        </w:rPr>
        <w:t xml:space="preserve"> </w:t>
      </w:r>
      <w:r w:rsidR="00ED7DE4">
        <w:rPr>
          <w:rStyle w:val="latin"/>
          <w:sz w:val="20"/>
        </w:rPr>
        <w:tab/>
      </w:r>
    </w:p>
    <w:p w:rsidR="001D02A0" w:rsidRPr="00682BDF" w:rsidRDefault="001D02A0">
      <w:pPr>
        <w:pStyle w:val="LATINTX1"/>
        <w:rPr>
          <w:spacing w:val="-1"/>
          <w:sz w:val="20"/>
        </w:rPr>
      </w:pPr>
      <w:r w:rsidRPr="00682BDF">
        <w:rPr>
          <w:rStyle w:val="latin"/>
          <w:spacing w:val="-1"/>
          <w:sz w:val="20"/>
        </w:rPr>
        <w:t>e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spacing w:val="-1"/>
          <w:sz w:val="20"/>
        </w:rPr>
        <w:t xml:space="preserve"> </w:t>
      </w:r>
      <w:r w:rsidRPr="00682BDF">
        <w:rPr>
          <w:rStyle w:val="latin-underline"/>
          <w:spacing w:val="-1"/>
          <w:sz w:val="20"/>
        </w:rPr>
        <w:t>tempore</w:t>
      </w:r>
      <w:r w:rsidRPr="00682BDF">
        <w:rPr>
          <w:spacing w:val="-1"/>
          <w:sz w:val="20"/>
        </w:rPr>
        <w:t xml:space="preserve"> </w:t>
      </w:r>
      <w:r w:rsidRPr="00682BDF">
        <w:rPr>
          <w:rStyle w:val="latin"/>
          <w:spacing w:val="-1"/>
          <w:sz w:val="20"/>
        </w:rPr>
        <w:t>mult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 xml:space="preserve"> R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m</w:t>
      </w:r>
      <w:r w:rsidRPr="00682BDF">
        <w:rPr>
          <w:rStyle w:val="accent"/>
          <w:spacing w:val="-1"/>
          <w:sz w:val="20"/>
        </w:rPr>
        <w:t>ā</w:t>
      </w:r>
      <w:r w:rsidRPr="00682BDF">
        <w:rPr>
          <w:rStyle w:val="latin"/>
          <w:spacing w:val="-1"/>
          <w:sz w:val="20"/>
        </w:rPr>
        <w:t>n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 xml:space="preserve"> pecūniam multam hab</w:t>
      </w:r>
      <w:r w:rsidRPr="00682BDF">
        <w:rPr>
          <w:rStyle w:val="accent"/>
          <w:spacing w:val="-1"/>
          <w:sz w:val="20"/>
        </w:rPr>
        <w:t>ē</w:t>
      </w:r>
      <w:r w:rsidRPr="00682BDF">
        <w:rPr>
          <w:rStyle w:val="latin"/>
          <w:spacing w:val="-1"/>
          <w:sz w:val="20"/>
        </w:rPr>
        <w:t>re vol</w:t>
      </w:r>
      <w:r w:rsidRPr="00682BDF">
        <w:rPr>
          <w:rStyle w:val="accent"/>
          <w:spacing w:val="-1"/>
          <w:sz w:val="20"/>
        </w:rPr>
        <w:t>ē</w:t>
      </w:r>
      <w:r w:rsidRPr="00682BDF">
        <w:rPr>
          <w:rStyle w:val="latin"/>
          <w:spacing w:val="-1"/>
          <w:sz w:val="20"/>
        </w:rPr>
        <w:t>bant: ‘ill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 xml:space="preserve"> qu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 xml:space="preserve"> pecūniam habent,’ inquiunt mult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 xml:space="preserve"> c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>v</w:t>
      </w:r>
      <w:r w:rsidRPr="00682BDF">
        <w:rPr>
          <w:rStyle w:val="accent"/>
          <w:spacing w:val="-1"/>
          <w:sz w:val="20"/>
        </w:rPr>
        <w:t>ē</w:t>
      </w:r>
      <w:r w:rsidRPr="00682BDF">
        <w:rPr>
          <w:rStyle w:val="latin"/>
          <w:spacing w:val="-1"/>
          <w:sz w:val="20"/>
        </w:rPr>
        <w:t>s, ‘</w:t>
      </w:r>
      <w:r w:rsidRPr="00682BDF">
        <w:rPr>
          <w:rStyle w:val="latin-underline"/>
          <w:spacing w:val="-1"/>
          <w:sz w:val="20"/>
        </w:rPr>
        <w:t>potestātem</w:t>
      </w:r>
      <w:r w:rsidRPr="00682BDF">
        <w:rPr>
          <w:spacing w:val="-1"/>
          <w:sz w:val="20"/>
        </w:rPr>
        <w:t xml:space="preserve"> </w:t>
      </w:r>
      <w:r w:rsidRPr="00682BDF">
        <w:rPr>
          <w:rStyle w:val="latin"/>
          <w:spacing w:val="-1"/>
          <w:sz w:val="20"/>
        </w:rPr>
        <w:t>magnam quoque sibi habent.’ ‘v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s pecūniam hab</w:t>
      </w:r>
      <w:r w:rsidRPr="00682BDF">
        <w:rPr>
          <w:rStyle w:val="accent"/>
          <w:spacing w:val="-1"/>
          <w:sz w:val="20"/>
        </w:rPr>
        <w:t>ē</w:t>
      </w:r>
      <w:r w:rsidRPr="00682BDF">
        <w:rPr>
          <w:rStyle w:val="latin"/>
          <w:spacing w:val="-1"/>
          <w:sz w:val="20"/>
        </w:rPr>
        <w:t>re vultis,’ inquit Cat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, ‘quod potest</w:t>
      </w:r>
      <w:r w:rsidRPr="00682BDF">
        <w:rPr>
          <w:rStyle w:val="accent"/>
          <w:spacing w:val="-1"/>
          <w:sz w:val="20"/>
        </w:rPr>
        <w:t>ā</w:t>
      </w:r>
      <w:r w:rsidRPr="00682BDF">
        <w:rPr>
          <w:rStyle w:val="latin"/>
          <w:spacing w:val="-1"/>
          <w:sz w:val="20"/>
        </w:rPr>
        <w:t>tem et</w:t>
      </w:r>
      <w:r w:rsidRPr="00682BDF">
        <w:rPr>
          <w:spacing w:val="-1"/>
          <w:sz w:val="20"/>
        </w:rPr>
        <w:t xml:space="preserve"> </w:t>
      </w:r>
      <w:r w:rsidRPr="00682BDF">
        <w:rPr>
          <w:rStyle w:val="latin-underline"/>
          <w:spacing w:val="-1"/>
          <w:sz w:val="20"/>
        </w:rPr>
        <w:t>luxuriam</w:t>
      </w:r>
      <w:r w:rsidRPr="00682BDF">
        <w:rPr>
          <w:spacing w:val="-1"/>
          <w:sz w:val="20"/>
        </w:rPr>
        <w:t xml:space="preserve"> </w:t>
      </w:r>
      <w:r w:rsidRPr="00682BDF">
        <w:rPr>
          <w:rStyle w:val="latin"/>
          <w:spacing w:val="-1"/>
          <w:sz w:val="20"/>
        </w:rPr>
        <w:t>am</w:t>
      </w:r>
      <w:r w:rsidRPr="00682BDF">
        <w:rPr>
          <w:rStyle w:val="accent"/>
          <w:spacing w:val="-1"/>
          <w:sz w:val="20"/>
        </w:rPr>
        <w:t>ā</w:t>
      </w:r>
      <w:r w:rsidRPr="00682BDF">
        <w:rPr>
          <w:rStyle w:val="latin"/>
          <w:spacing w:val="-1"/>
          <w:sz w:val="20"/>
        </w:rPr>
        <w:t>tis. ego pecūniam habe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 xml:space="preserve"> sed et patriam et</w:t>
      </w:r>
      <w:r w:rsidRPr="00682BDF">
        <w:rPr>
          <w:spacing w:val="-1"/>
          <w:sz w:val="20"/>
        </w:rPr>
        <w:t xml:space="preserve"> </w:t>
      </w:r>
      <w:r w:rsidRPr="00682BDF">
        <w:rPr>
          <w:rStyle w:val="latin-underline"/>
          <w:spacing w:val="-1"/>
          <w:sz w:val="20"/>
        </w:rPr>
        <w:t>glōriam</w:t>
      </w:r>
      <w:r w:rsidRPr="00682BDF">
        <w:rPr>
          <w:spacing w:val="-1"/>
          <w:sz w:val="20"/>
        </w:rPr>
        <w:t xml:space="preserve"> </w:t>
      </w:r>
      <w:r w:rsidRPr="00682BDF">
        <w:rPr>
          <w:rStyle w:val="latin"/>
          <w:spacing w:val="-1"/>
          <w:sz w:val="20"/>
        </w:rPr>
        <w:t>am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. luxuriam n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n am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. c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>vis bonus sum. itaque in bell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>s pugn</w:t>
      </w:r>
      <w:r w:rsidRPr="00682BDF">
        <w:rPr>
          <w:rStyle w:val="accent"/>
          <w:spacing w:val="-1"/>
          <w:sz w:val="20"/>
        </w:rPr>
        <w:t>ā</w:t>
      </w:r>
      <w:r w:rsidRPr="00682BDF">
        <w:rPr>
          <w:rStyle w:val="latin"/>
          <w:spacing w:val="-1"/>
          <w:sz w:val="20"/>
        </w:rPr>
        <w:t>b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 xml:space="preserve"> et in agr</w:t>
      </w:r>
      <w:r w:rsidRPr="00682BDF">
        <w:rPr>
          <w:rStyle w:val="accent"/>
          <w:spacing w:val="-1"/>
          <w:sz w:val="20"/>
        </w:rPr>
        <w:t>ī</w:t>
      </w:r>
      <w:r w:rsidRPr="00682BDF">
        <w:rPr>
          <w:rStyle w:val="latin"/>
          <w:spacing w:val="-1"/>
          <w:sz w:val="20"/>
        </w:rPr>
        <w:t>s lab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r</w:t>
      </w:r>
      <w:r w:rsidRPr="00682BDF">
        <w:rPr>
          <w:rStyle w:val="accent"/>
          <w:spacing w:val="-1"/>
          <w:sz w:val="20"/>
        </w:rPr>
        <w:t>ā</w:t>
      </w:r>
      <w:r w:rsidRPr="00682BDF">
        <w:rPr>
          <w:rStyle w:val="latin"/>
          <w:spacing w:val="-1"/>
          <w:sz w:val="20"/>
        </w:rPr>
        <w:t>b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; tum magnam gl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riam hab</w:t>
      </w:r>
      <w:r w:rsidRPr="00682BDF">
        <w:rPr>
          <w:rStyle w:val="accent"/>
          <w:spacing w:val="-1"/>
          <w:sz w:val="20"/>
        </w:rPr>
        <w:t>ē</w:t>
      </w:r>
      <w:r w:rsidRPr="00682BDF">
        <w:rPr>
          <w:rStyle w:val="latin"/>
          <w:spacing w:val="-1"/>
          <w:sz w:val="20"/>
        </w:rPr>
        <w:t>b</w:t>
      </w:r>
      <w:r w:rsidRPr="00682BDF">
        <w:rPr>
          <w:rStyle w:val="accent"/>
          <w:spacing w:val="-1"/>
          <w:sz w:val="20"/>
        </w:rPr>
        <w:t>ō</w:t>
      </w:r>
      <w:r w:rsidRPr="00682BDF">
        <w:rPr>
          <w:rStyle w:val="latin"/>
          <w:spacing w:val="-1"/>
          <w:sz w:val="20"/>
        </w:rPr>
        <w:t>.’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ab/>
      </w:r>
    </w:p>
    <w:p w:rsidR="001D02A0" w:rsidRPr="00682BDF" w:rsidRDefault="001D02A0">
      <w:pPr>
        <w:pStyle w:val="LATINTX1"/>
        <w:rPr>
          <w:sz w:val="20"/>
        </w:rPr>
      </w:pPr>
      <w:r w:rsidRPr="00682BDF">
        <w:rPr>
          <w:rStyle w:val="latin"/>
          <w:sz w:val="20"/>
        </w:rPr>
        <w:t>e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 xml:space="preserve"> tempore mult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m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n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quoque libr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Graec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leg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bant: ‘Graec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erant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cultissimī</w:t>
      </w:r>
      <w:r w:rsidRPr="00682BDF">
        <w:rPr>
          <w:rStyle w:val="latin"/>
          <w:sz w:val="20"/>
        </w:rPr>
        <w:t>,’ inquiunt h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m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n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. ‘n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quoque cultissim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erimus.’ ‘ego Graec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libr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legere 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l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,’ inquit Cat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. ‘Graec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n fortiter pugn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bant; in bell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s 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n v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c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runt. ego sum fortis et aud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x et saepe in agr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s me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s lab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: is qu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cultissimus est et semper libr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Graec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 legit 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n fortiter pugnat.’</w:t>
      </w:r>
      <w:r w:rsidRPr="00682BDF">
        <w:rPr>
          <w:sz w:val="20"/>
        </w:rPr>
        <w:t xml:space="preserve"> </w:t>
      </w:r>
      <w:r w:rsidR="00ED7DE4">
        <w:rPr>
          <w:rStyle w:val="latin"/>
          <w:sz w:val="20"/>
        </w:rPr>
        <w:tab/>
      </w:r>
    </w:p>
    <w:p w:rsidR="001D02A0" w:rsidRPr="00682BDF" w:rsidRDefault="001D02A0">
      <w:pPr>
        <w:pStyle w:val="LATINTX1"/>
        <w:rPr>
          <w:sz w:val="20"/>
        </w:rPr>
      </w:pPr>
      <w:r w:rsidRPr="00682BDF">
        <w:rPr>
          <w:rStyle w:val="latin"/>
          <w:sz w:val="20"/>
        </w:rPr>
        <w:t>diū Cat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 xml:space="preserve"> contr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 xml:space="preserve"> Carth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giniens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s pugn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re vol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bat. ‘Carth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giniens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s semper erunt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hostēs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bis,’ saepe cl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m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bat. ‘Carth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go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dēlenda est</w:t>
      </w:r>
      <w:r w:rsidRPr="00682BDF">
        <w:rPr>
          <w:rStyle w:val="latin"/>
          <w:sz w:val="20"/>
        </w:rPr>
        <w:t xml:space="preserve">.’ 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lim, quod sen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t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ribus persu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d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re vol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bat,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fīcōs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pulchr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s e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s ostendit: ‘vid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te h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s f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c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s!’ magn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 xml:space="preserve"> cum cl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m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re inquit Cat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. ‘hae sunt f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>c</w:t>
      </w:r>
      <w:r w:rsidRPr="00682BDF">
        <w:rPr>
          <w:rStyle w:val="accent"/>
          <w:sz w:val="20"/>
        </w:rPr>
        <w:t>ī</w:t>
      </w:r>
      <w:r w:rsidRPr="00682BDF">
        <w:rPr>
          <w:rStyle w:val="latin"/>
          <w:sz w:val="20"/>
        </w:rPr>
        <w:t xml:space="preserve"> Carth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giniens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s: etiam nunc pulchrae sunt, quod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iter</w:t>
      </w:r>
      <w:r w:rsidRPr="00682BDF">
        <w:rPr>
          <w:sz w:val="20"/>
        </w:rPr>
        <w:t xml:space="preserve"> </w:t>
      </w:r>
      <w:r w:rsidRPr="00682BDF">
        <w:rPr>
          <w:rStyle w:val="latin"/>
          <w:sz w:val="20"/>
        </w:rPr>
        <w:t>n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n erat longum; iter erat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sōlum</w:t>
      </w:r>
      <w:r w:rsidRPr="00682BDF">
        <w:rPr>
          <w:sz w:val="20"/>
        </w:rPr>
        <w:t xml:space="preserve"> </w:t>
      </w:r>
      <w:r w:rsidRPr="00682BDF">
        <w:rPr>
          <w:rStyle w:val="latin-underline"/>
          <w:sz w:val="20"/>
        </w:rPr>
        <w:t>trīduī</w:t>
      </w:r>
      <w:r w:rsidRPr="00682BDF">
        <w:rPr>
          <w:rStyle w:val="latin"/>
          <w:sz w:val="20"/>
        </w:rPr>
        <w:t>. ego Carth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giniens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s time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 xml:space="preserve"> quod celeriter Carth</w:t>
      </w:r>
      <w:r w:rsidRPr="00682BDF">
        <w:rPr>
          <w:rStyle w:val="accent"/>
          <w:sz w:val="20"/>
        </w:rPr>
        <w:t>ā</w:t>
      </w:r>
      <w:r w:rsidRPr="00682BDF">
        <w:rPr>
          <w:rStyle w:val="latin"/>
          <w:sz w:val="20"/>
        </w:rPr>
        <w:t>giniens</w:t>
      </w:r>
      <w:r w:rsidRPr="00682BDF">
        <w:rPr>
          <w:rStyle w:val="accent"/>
          <w:sz w:val="20"/>
        </w:rPr>
        <w:t>ē</w:t>
      </w:r>
      <w:r w:rsidRPr="00682BDF">
        <w:rPr>
          <w:rStyle w:val="latin"/>
          <w:sz w:val="20"/>
        </w:rPr>
        <w:t>s R</w:t>
      </w:r>
      <w:r w:rsidRPr="00682BDF">
        <w:rPr>
          <w:rStyle w:val="accent"/>
          <w:sz w:val="20"/>
        </w:rPr>
        <w:t>ō</w:t>
      </w:r>
      <w:r w:rsidRPr="00682BDF">
        <w:rPr>
          <w:rStyle w:val="latin"/>
          <w:sz w:val="20"/>
        </w:rPr>
        <w:t>mae adesse possunt.’</w:t>
      </w:r>
      <w:r w:rsidRPr="00682BDF">
        <w:rPr>
          <w:sz w:val="20"/>
        </w:rPr>
        <w:t xml:space="preserve"> </w:t>
      </w:r>
      <w:r w:rsidR="00ED7DE4">
        <w:rPr>
          <w:rStyle w:val="latin"/>
          <w:sz w:val="20"/>
        </w:rPr>
        <w:tab/>
      </w:r>
      <w:bookmarkStart w:id="0" w:name="_GoBack"/>
      <w:bookmarkEnd w:id="0"/>
    </w:p>
    <w:p w:rsidR="001D02A0" w:rsidRPr="00682BDF" w:rsidRDefault="001D02A0">
      <w:pPr>
        <w:pStyle w:val="tt"/>
        <w:rPr>
          <w:sz w:val="21"/>
        </w:rPr>
      </w:pPr>
      <w:r w:rsidRPr="00682BDF">
        <w:rPr>
          <w:sz w:val="21"/>
        </w:rPr>
        <w:t> </w:t>
      </w:r>
    </w:p>
    <w:sectPr w:rsidR="001D02A0" w:rsidRPr="00682BDF">
      <w:headerReference w:type="default" r:id="rId6"/>
      <w:pgSz w:w="11906" w:h="16838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BDF" w:rsidRDefault="00682BDF" w:rsidP="00682BDF">
      <w:pPr>
        <w:spacing w:after="0" w:line="240" w:lineRule="auto"/>
      </w:pPr>
      <w:r>
        <w:separator/>
      </w:r>
    </w:p>
  </w:endnote>
  <w:endnote w:type="continuationSeparator" w:id="0">
    <w:p w:rsidR="00682BDF" w:rsidRDefault="00682BDF" w:rsidP="00682B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TC Franklin Gothic St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BDF" w:rsidRDefault="00682BDF" w:rsidP="00682BDF">
      <w:pPr>
        <w:spacing w:after="0" w:line="240" w:lineRule="auto"/>
      </w:pPr>
      <w:r>
        <w:separator/>
      </w:r>
    </w:p>
  </w:footnote>
  <w:footnote w:type="continuationSeparator" w:id="0">
    <w:p w:rsidR="00682BDF" w:rsidRDefault="00682BDF" w:rsidP="00682B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BDF" w:rsidRDefault="00682BDF" w:rsidP="00682BDF">
    <w:pPr>
      <w:pStyle w:val="Header"/>
      <w:jc w:val="right"/>
    </w:pPr>
    <w:r>
      <w:rPr>
        <w:rFonts w:ascii="Times New Roman" w:hAnsi="Times New Roman"/>
        <w:b/>
        <w:noProof/>
        <w:sz w:val="28"/>
        <w:szCs w:val="28"/>
        <w:lang w:val="en-GB" w:eastAsia="en-GB"/>
      </w:rPr>
      <w:drawing>
        <wp:inline distT="0" distB="0" distL="0" distR="0" wp14:anchorId="45320D15" wp14:editId="2C2CB9E5">
          <wp:extent cx="3059872" cy="578006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omsbury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3330" cy="578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A0"/>
    <w:rsid w:val="001D02A0"/>
    <w:rsid w:val="001E3CF2"/>
    <w:rsid w:val="00397923"/>
    <w:rsid w:val="00682BDF"/>
    <w:rsid w:val="00ED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989A068-7330-495C-9E91-CE721E66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en-US"/>
    </w:rPr>
  </w:style>
  <w:style w:type="paragraph" w:customStyle="1" w:styleId="LATINTX">
    <w:name w:val="LATIN_TX"/>
    <w:basedOn w:val="NoParagraphStyle"/>
    <w:uiPriority w:val="99"/>
    <w:pPr>
      <w:tabs>
        <w:tab w:val="left" w:pos="240"/>
      </w:tabs>
      <w:suppressAutoHyphens/>
      <w:spacing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LATINTX1">
    <w:name w:val="LATIN_TX1"/>
    <w:basedOn w:val="NoParagraphStyle"/>
    <w:uiPriority w:val="99"/>
    <w:pPr>
      <w:tabs>
        <w:tab w:val="left" w:pos="240"/>
      </w:tabs>
      <w:suppressAutoHyphens/>
      <w:spacing w:before="290" w:line="290" w:lineRule="atLeast"/>
      <w:jc w:val="both"/>
    </w:pPr>
    <w:rPr>
      <w:rFonts w:ascii="Verdana" w:hAnsi="Verdana" w:cs="Verdana"/>
      <w:sz w:val="19"/>
      <w:szCs w:val="19"/>
    </w:rPr>
  </w:style>
  <w:style w:type="paragraph" w:customStyle="1" w:styleId="tt">
    <w:name w:val="tt"/>
    <w:basedOn w:val="NoParagraphStyle"/>
    <w:uiPriority w:val="99"/>
    <w:pPr>
      <w:suppressAutoHyphens/>
      <w:spacing w:after="80" w:line="290" w:lineRule="atLeast"/>
    </w:pPr>
    <w:rPr>
      <w:rFonts w:ascii="ITC Franklin Gothic Std" w:hAnsi="ITC Franklin Gothic Std" w:cs="ITC Franklin Gothic Std"/>
      <w:sz w:val="19"/>
      <w:szCs w:val="19"/>
    </w:rPr>
  </w:style>
  <w:style w:type="paragraph" w:customStyle="1" w:styleId="BasicParagraph">
    <w:name w:val="[Basic Paragraph]"/>
    <w:basedOn w:val="NoParagraphStyle"/>
    <w:uiPriority w:val="99"/>
  </w:style>
  <w:style w:type="paragraph" w:customStyle="1" w:styleId="LineNumbersRecto">
    <w:name w:val="Line Numbers Recto"/>
    <w:basedOn w:val="NoParagraphStyle"/>
    <w:uiPriority w:val="99"/>
    <w:pPr>
      <w:tabs>
        <w:tab w:val="left" w:pos="240"/>
      </w:tabs>
      <w:suppressAutoHyphens/>
      <w:spacing w:before="200" w:line="290" w:lineRule="atLeast"/>
    </w:pPr>
    <w:rPr>
      <w:rFonts w:ascii="Verdana" w:hAnsi="Verdana" w:cs="Verdana"/>
      <w:sz w:val="19"/>
      <w:szCs w:val="19"/>
    </w:rPr>
  </w:style>
  <w:style w:type="character" w:customStyle="1" w:styleId="latin">
    <w:name w:val="latin"/>
    <w:uiPriority w:val="99"/>
    <w:rPr>
      <w:rFonts w:ascii="Verdana" w:hAnsi="Verdana"/>
    </w:rPr>
  </w:style>
  <w:style w:type="character" w:customStyle="1" w:styleId="accent">
    <w:name w:val="accent"/>
    <w:uiPriority w:val="99"/>
    <w:rPr>
      <w:u w:val="none" w:color="EC008B"/>
    </w:rPr>
  </w:style>
  <w:style w:type="character" w:customStyle="1" w:styleId="latin-underline">
    <w:name w:val="latin-underline"/>
    <w:uiPriority w:val="99"/>
    <w:rPr>
      <w:rFonts w:ascii="Verdana" w:hAnsi="Verdana"/>
      <w:u w:val="thick"/>
    </w:rPr>
  </w:style>
  <w:style w:type="character" w:customStyle="1" w:styleId="bold">
    <w:name w:val="bold"/>
    <w:uiPriority w:val="99"/>
    <w:rPr>
      <w:b/>
    </w:rPr>
  </w:style>
  <w:style w:type="character" w:customStyle="1" w:styleId="tt1">
    <w:name w:val="tt1"/>
    <w:basedOn w:val="bold"/>
    <w:uiPriority w:val="99"/>
    <w:rPr>
      <w:rFonts w:cs="Times New Roman"/>
      <w:b w:val="0"/>
      <w:caps/>
    </w:rPr>
  </w:style>
  <w:style w:type="paragraph" w:styleId="Header">
    <w:name w:val="header"/>
    <w:basedOn w:val="Normal"/>
    <w:link w:val="HeaderChar"/>
    <w:uiPriority w:val="99"/>
    <w:rsid w:val="0068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DF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682B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DF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Lily Mac Mahon</dc:creator>
  <cp:keywords/>
  <dc:description/>
  <cp:lastModifiedBy>Lily Mac Mahon</cp:lastModifiedBy>
  <cp:revision>5</cp:revision>
  <dcterms:created xsi:type="dcterms:W3CDTF">2020-02-20T10:22:00Z</dcterms:created>
  <dcterms:modified xsi:type="dcterms:W3CDTF">2020-02-21T11:10:00Z</dcterms:modified>
</cp:coreProperties>
</file>