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EBC49" w14:textId="77777777" w:rsidR="00FD5406" w:rsidRPr="0028360B" w:rsidRDefault="00FD5406" w:rsidP="00FD5406">
      <w:pPr>
        <w:pStyle w:val="Heading3"/>
        <w:rPr>
          <w:rFonts w:asciiTheme="minorHAnsi" w:hAnsiTheme="minorHAnsi"/>
        </w:rPr>
      </w:pPr>
      <w:bookmarkStart w:id="0" w:name="_Toc490147366"/>
      <w:r w:rsidRPr="0028360B">
        <w:rPr>
          <w:rFonts w:asciiTheme="minorHAnsi" w:hAnsiTheme="minorHAnsi"/>
        </w:rPr>
        <w:t>STUDY GUIDE</w:t>
      </w:r>
      <w:bookmarkEnd w:id="0"/>
    </w:p>
    <w:p w14:paraId="625A02F3" w14:textId="77777777" w:rsidR="00FD5406" w:rsidRPr="0028360B" w:rsidRDefault="00FD5406" w:rsidP="00FD5406">
      <w:pPr>
        <w:rPr>
          <w:rFonts w:eastAsiaTheme="majorEastAsia" w:cs="Times New Roman"/>
          <w:b/>
          <w:bCs/>
          <w:iCs/>
          <w:sz w:val="24"/>
          <w:szCs w:val="24"/>
          <w:lang w:val="en-US"/>
        </w:rPr>
      </w:pPr>
      <w:r w:rsidRPr="0028360B">
        <w:rPr>
          <w:rFonts w:eastAsiaTheme="majorEastAsia" w:cs="Times New Roman"/>
          <w:b/>
          <w:bCs/>
          <w:iCs/>
          <w:sz w:val="24"/>
          <w:szCs w:val="24"/>
          <w:lang w:val="en-US"/>
        </w:rPr>
        <w:t>CHAPTER 14</w:t>
      </w:r>
    </w:p>
    <w:p w14:paraId="31182565" w14:textId="1BD9EFDB"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How do the </w:t>
      </w:r>
      <w:r w:rsidRPr="009A3BE9">
        <w:rPr>
          <w:rFonts w:asciiTheme="minorHAnsi" w:hAnsiTheme="minorHAnsi"/>
          <w:iCs/>
        </w:rPr>
        <w:t>DSM-5</w:t>
      </w:r>
      <w:r w:rsidR="001C1A5A" w:rsidRPr="009A3BE9">
        <w:rPr>
          <w:rFonts w:asciiTheme="minorHAnsi" w:hAnsiTheme="minorHAnsi"/>
          <w:iCs/>
        </w:rPr>
        <w:t xml:space="preserve">-TR </w:t>
      </w:r>
      <w:r w:rsidR="001C1A5A" w:rsidRPr="001C1A5A">
        <w:rPr>
          <w:rFonts w:asciiTheme="minorHAnsi" w:hAnsiTheme="minorHAnsi"/>
          <w:iCs/>
        </w:rPr>
        <w:t>and</w:t>
      </w:r>
      <w:r w:rsidRPr="009A3BE9">
        <w:rPr>
          <w:rFonts w:asciiTheme="minorHAnsi" w:hAnsiTheme="minorHAnsi"/>
          <w:iCs/>
        </w:rPr>
        <w:t xml:space="preserve"> ICD-11</w:t>
      </w:r>
      <w:r w:rsidRPr="001C1A5A">
        <w:rPr>
          <w:rFonts w:asciiTheme="minorHAnsi" w:hAnsiTheme="minorHAnsi"/>
          <w:iCs/>
        </w:rPr>
        <w:t xml:space="preserve"> </w:t>
      </w:r>
      <w:r w:rsidRPr="0028360B">
        <w:rPr>
          <w:rFonts w:asciiTheme="minorHAnsi" w:hAnsiTheme="minorHAnsi"/>
        </w:rPr>
        <w:t xml:space="preserve">differentiate intellectual disability from learning disorder? Outline the various </w:t>
      </w:r>
      <w:r w:rsidRPr="009A3BE9">
        <w:rPr>
          <w:rFonts w:asciiTheme="minorHAnsi" w:hAnsiTheme="minorHAnsi"/>
          <w:iCs/>
        </w:rPr>
        <w:t xml:space="preserve">DSM </w:t>
      </w:r>
      <w:r w:rsidRPr="001C1A5A">
        <w:rPr>
          <w:rFonts w:asciiTheme="minorHAnsi" w:hAnsiTheme="minorHAnsi"/>
          <w:iCs/>
        </w:rPr>
        <w:t xml:space="preserve">and </w:t>
      </w:r>
      <w:r w:rsidRPr="009A3BE9">
        <w:rPr>
          <w:rFonts w:asciiTheme="minorHAnsi" w:hAnsiTheme="minorHAnsi"/>
          <w:iCs/>
        </w:rPr>
        <w:t>ICD</w:t>
      </w:r>
      <w:r w:rsidRPr="0028360B">
        <w:rPr>
          <w:rFonts w:asciiTheme="minorHAnsi" w:hAnsiTheme="minorHAnsi"/>
          <w:i/>
        </w:rPr>
        <w:t xml:space="preserve"> </w:t>
      </w:r>
      <w:r w:rsidRPr="0028360B">
        <w:rPr>
          <w:rFonts w:asciiTheme="minorHAnsi" w:hAnsiTheme="minorHAnsi"/>
        </w:rPr>
        <w:t>diagnostic categories.</w:t>
      </w:r>
    </w:p>
    <w:p w14:paraId="065F5602" w14:textId="77777777" w:rsidR="00FD5406" w:rsidRDefault="00FD5406" w:rsidP="00FD5406">
      <w:pPr>
        <w:pStyle w:val="APANon-indent"/>
        <w:numPr>
          <w:ilvl w:val="0"/>
          <w:numId w:val="1"/>
        </w:numPr>
        <w:rPr>
          <w:rFonts w:asciiTheme="minorHAnsi" w:hAnsiTheme="minorHAnsi"/>
        </w:rPr>
      </w:pPr>
      <w:r w:rsidRPr="0028360B">
        <w:rPr>
          <w:rFonts w:asciiTheme="minorHAnsi" w:hAnsiTheme="minorHAnsi"/>
        </w:rPr>
        <w:t>How have ideas about intellectual disability changed over the last century?</w:t>
      </w:r>
    </w:p>
    <w:p w14:paraId="414F76D0" w14:textId="2097AF63" w:rsidR="00FB14A1" w:rsidRPr="0028360B" w:rsidRDefault="00FB14A1" w:rsidP="00FD5406">
      <w:pPr>
        <w:pStyle w:val="APANon-indent"/>
        <w:numPr>
          <w:ilvl w:val="0"/>
          <w:numId w:val="1"/>
        </w:numPr>
        <w:rPr>
          <w:rFonts w:asciiTheme="minorHAnsi" w:hAnsiTheme="minorHAnsi"/>
        </w:rPr>
      </w:pPr>
      <w:r>
        <w:rPr>
          <w:rFonts w:asciiTheme="minorHAnsi" w:hAnsiTheme="minorHAnsi"/>
        </w:rPr>
        <w:t xml:space="preserve">Discuss the eugenics movement and </w:t>
      </w:r>
      <w:r w:rsidR="0051312F">
        <w:rPr>
          <w:rFonts w:asciiTheme="minorHAnsi" w:hAnsiTheme="minorHAnsi"/>
        </w:rPr>
        <w:t xml:space="preserve">its influence on </w:t>
      </w:r>
      <w:r w:rsidR="00FF5866">
        <w:rPr>
          <w:rFonts w:asciiTheme="minorHAnsi" w:hAnsiTheme="minorHAnsi"/>
        </w:rPr>
        <w:t xml:space="preserve">attitudes toward people with intellectual disabilities. </w:t>
      </w:r>
    </w:p>
    <w:p w14:paraId="127334B1"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Describe various genetic diseases believed to cause intellectual disabilities. What other biological factors can produce such disabilities?</w:t>
      </w:r>
    </w:p>
    <w:p w14:paraId="68B912FC"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genetic and brain structure explanations have been offered for dyslexia? What drugs are used to treat it? What is the research status for using these drugs as treatments?</w:t>
      </w:r>
    </w:p>
    <w:p w14:paraId="1F1A3F97"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How is applied behavior analysis (ABA) used to help those with intellectual disabilities? </w:t>
      </w:r>
    </w:p>
    <w:p w14:paraId="4D0648DD"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kinds of psychological interventions are used to address learning disorders? How much research support is there for these interventions?</w:t>
      </w:r>
    </w:p>
    <w:p w14:paraId="05262B4B"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is the relationship between socioeconomic inequality and intellectual disabilities? In what ways might this relationship be explained?</w:t>
      </w:r>
    </w:p>
    <w:p w14:paraId="24578A08"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are group homes and how are they used for people with intellectual disabilities?</w:t>
      </w:r>
    </w:p>
    <w:p w14:paraId="4D5707B5"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Explain the social constructionist critique of learning disorders.</w:t>
      </w:r>
    </w:p>
    <w:p w14:paraId="1ECF8A71" w14:textId="2E6FF17B"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lastRenderedPageBreak/>
        <w:t xml:space="preserve">Name and define </w:t>
      </w:r>
      <w:r w:rsidRPr="009A3BE9">
        <w:rPr>
          <w:rFonts w:asciiTheme="minorHAnsi" w:hAnsiTheme="minorHAnsi"/>
          <w:iCs/>
        </w:rPr>
        <w:t>DSM-5</w:t>
      </w:r>
      <w:r w:rsidR="009228D8" w:rsidRPr="009A3BE9">
        <w:rPr>
          <w:rFonts w:asciiTheme="minorHAnsi" w:hAnsiTheme="minorHAnsi"/>
          <w:iCs/>
        </w:rPr>
        <w:t>-TR, and</w:t>
      </w:r>
      <w:r w:rsidRPr="009A3BE9">
        <w:rPr>
          <w:rFonts w:asciiTheme="minorHAnsi" w:hAnsiTheme="minorHAnsi"/>
          <w:iCs/>
        </w:rPr>
        <w:t xml:space="preserve"> ICD-11</w:t>
      </w:r>
      <w:r w:rsidRPr="0028360B">
        <w:rPr>
          <w:rFonts w:asciiTheme="minorHAnsi" w:hAnsiTheme="minorHAnsi"/>
        </w:rPr>
        <w:t xml:space="preserve"> motor disorder diagnoses.</w:t>
      </w:r>
    </w:p>
    <w:p w14:paraId="1AFEC2CE"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are the four different kinds of tics?</w:t>
      </w:r>
    </w:p>
    <w:p w14:paraId="3A8423B1"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other disorders tend to be comorbid with Tourette’s and other tic disorders?</w:t>
      </w:r>
    </w:p>
    <w:p w14:paraId="7A5A0262"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Outline the history of Tourette’s syndrome, including its discovery, past psychodynamic therapies for it, and the occasional use of psychosurgery to treat it.</w:t>
      </w:r>
    </w:p>
    <w:p w14:paraId="6A1A5592"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Discuss the suspected heritability of tic disorders, as well as the dopamine hypothesis of Tourette’s disorder.</w:t>
      </w:r>
    </w:p>
    <w:p w14:paraId="0F51B881"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In what way is the immune system suspected of playing a role in Tourette’s syndrome?</w:t>
      </w:r>
    </w:p>
    <w:p w14:paraId="4D1FE702"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kinds of drugs are prescribed to people with Tourette’s? Why are so many different types of drugs considered when treating Tourette’s? When and why is deep brain stimulation used?</w:t>
      </w:r>
    </w:p>
    <w:p w14:paraId="5BEE0FC4"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is habit reversal training (HRT) and how is it used to treat Tourette’s syndrome? What other behavior therapies and cognitive therapies are used for Tourette’s?</w:t>
      </w:r>
    </w:p>
    <w:p w14:paraId="56DFBC73"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Discuss the role of stigma in Tourette’s syndrome.</w:t>
      </w:r>
    </w:p>
    <w:p w14:paraId="604D7758" w14:textId="75E396AE"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Define communication and language difficulties identified in the </w:t>
      </w:r>
      <w:r w:rsidRPr="009A3BE9">
        <w:rPr>
          <w:rFonts w:asciiTheme="minorHAnsi" w:hAnsiTheme="minorHAnsi"/>
          <w:iCs/>
        </w:rPr>
        <w:t>DSM-5</w:t>
      </w:r>
      <w:r w:rsidR="00D95EA7" w:rsidRPr="009A3BE9">
        <w:rPr>
          <w:rFonts w:asciiTheme="minorHAnsi" w:hAnsiTheme="minorHAnsi"/>
          <w:iCs/>
        </w:rPr>
        <w:t>-T</w:t>
      </w:r>
      <w:r w:rsidR="00D95EA7">
        <w:rPr>
          <w:rFonts w:asciiTheme="minorHAnsi" w:hAnsiTheme="minorHAnsi"/>
          <w:iCs/>
        </w:rPr>
        <w:t>R</w:t>
      </w:r>
      <w:r w:rsidR="00D95EA7" w:rsidRPr="009A3BE9">
        <w:rPr>
          <w:rFonts w:asciiTheme="minorHAnsi" w:hAnsiTheme="minorHAnsi"/>
          <w:iCs/>
        </w:rPr>
        <w:t xml:space="preserve">, </w:t>
      </w:r>
      <w:r w:rsidRPr="009A3BE9">
        <w:rPr>
          <w:rFonts w:asciiTheme="minorHAnsi" w:hAnsiTheme="minorHAnsi"/>
          <w:iCs/>
        </w:rPr>
        <w:t>and ICD-11</w:t>
      </w:r>
      <w:r w:rsidRPr="00D95EA7">
        <w:rPr>
          <w:rFonts w:asciiTheme="minorHAnsi" w:hAnsiTheme="minorHAnsi"/>
          <w:iCs/>
        </w:rPr>
        <w:t>.</w:t>
      </w:r>
    </w:p>
    <w:p w14:paraId="16E85692"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Outline the suspected roles of genes and dopamine in stuttering. What drugs are used to treat stuttering and how well do they generally work?</w:t>
      </w:r>
    </w:p>
    <w:p w14:paraId="6A4DCC38"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What is the Lidcombe Program? What is the evidence base to support using it? </w:t>
      </w:r>
    </w:p>
    <w:p w14:paraId="45A06E7D"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lastRenderedPageBreak/>
        <w:t>Discuss how CBT techniques are also used to address the role of anxiety in stuttering and how constructivist techniques are used to reduce stuttering relapse. What evidence is there for CBT and constructivist approaches to stuttering?</w:t>
      </w:r>
    </w:p>
    <w:p w14:paraId="36BB8BB3"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How does stuttering lead to stigma and in what ways can stigma impact quality of life for people who stutter?</w:t>
      </w:r>
    </w:p>
    <w:p w14:paraId="53EB2725" w14:textId="02A21EF8"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 xml:space="preserve">How do the </w:t>
      </w:r>
      <w:r w:rsidRPr="009A3BE9">
        <w:rPr>
          <w:rFonts w:asciiTheme="minorHAnsi" w:hAnsiTheme="minorHAnsi"/>
          <w:iCs/>
        </w:rPr>
        <w:t>DSM-5</w:t>
      </w:r>
      <w:r w:rsidR="0039230B" w:rsidRPr="009A3BE9">
        <w:rPr>
          <w:rFonts w:asciiTheme="minorHAnsi" w:hAnsiTheme="minorHAnsi"/>
          <w:iCs/>
        </w:rPr>
        <w:t>-TR, and</w:t>
      </w:r>
      <w:r w:rsidRPr="009A3BE9">
        <w:rPr>
          <w:rFonts w:asciiTheme="minorHAnsi" w:hAnsiTheme="minorHAnsi"/>
          <w:iCs/>
        </w:rPr>
        <w:t xml:space="preserve"> ICD-11</w:t>
      </w:r>
      <w:r w:rsidRPr="0028360B">
        <w:rPr>
          <w:rFonts w:asciiTheme="minorHAnsi" w:hAnsiTheme="minorHAnsi"/>
        </w:rPr>
        <w:t xml:space="preserve"> distinguish delirium from dementia? What terms does the </w:t>
      </w:r>
      <w:r w:rsidRPr="009A3BE9">
        <w:rPr>
          <w:rFonts w:asciiTheme="minorHAnsi" w:hAnsiTheme="minorHAnsi"/>
          <w:iCs/>
        </w:rPr>
        <w:t>DSM</w:t>
      </w:r>
      <w:r w:rsidRPr="0028360B">
        <w:rPr>
          <w:rFonts w:asciiTheme="minorHAnsi" w:hAnsiTheme="minorHAnsi"/>
          <w:i/>
        </w:rPr>
        <w:t xml:space="preserve"> </w:t>
      </w:r>
      <w:r w:rsidRPr="0028360B">
        <w:rPr>
          <w:rFonts w:asciiTheme="minorHAnsi" w:hAnsiTheme="minorHAnsi"/>
        </w:rPr>
        <w:t xml:space="preserve">(and to some extent, the </w:t>
      </w:r>
      <w:r w:rsidRPr="009A3BE9">
        <w:rPr>
          <w:rFonts w:asciiTheme="minorHAnsi" w:hAnsiTheme="minorHAnsi"/>
          <w:iCs/>
        </w:rPr>
        <w:t>ICD-11</w:t>
      </w:r>
      <w:r w:rsidRPr="0028360B">
        <w:rPr>
          <w:rFonts w:asciiTheme="minorHAnsi" w:hAnsiTheme="minorHAnsi"/>
        </w:rPr>
        <w:t>) now use instead of dementia?</w:t>
      </w:r>
    </w:p>
    <w:p w14:paraId="7F499D77"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Describe historical perspectives on dementia and the discovery of Alzheimer’s disease.</w:t>
      </w:r>
    </w:p>
    <w:p w14:paraId="462AD511"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is the amyloid hypothesis of Alzheimer’s disease? What questions about amyloid plaques and neurofibrillary tangles remain unanswered?</w:t>
      </w:r>
    </w:p>
    <w:p w14:paraId="743CCA4F"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role are genes suspected of playing in early-onset and late-onset Alzheimer’s? What is the cognitive reserve hypothesis and how is it relevant in thinking about genetic vulnerability to Alzheimer’s?</w:t>
      </w:r>
    </w:p>
    <w:p w14:paraId="5B2A306F"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drugs are prescribed to treat Alzheimer’s disease? How is the use of many of these drugs tied to the cholinergic hypothesis of Alzheimer’s? What risks are there for prescribing antipsychotics?</w:t>
      </w:r>
    </w:p>
    <w:p w14:paraId="7C90F65A"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drugs are hypothesized to prevent Alzheimer’s dementia? What is the evidence for using these drugs?</w:t>
      </w:r>
    </w:p>
    <w:p w14:paraId="6047C757"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are cognitive enhancement therapies and how are they used in treating Alzheimer’s dementia? What does research imply about such therapies?</w:t>
      </w:r>
    </w:p>
    <w:p w14:paraId="3CB73D22" w14:textId="208AC3A6" w:rsidR="00FD5406" w:rsidRDefault="00FD5406" w:rsidP="00FD5406">
      <w:pPr>
        <w:pStyle w:val="APANon-indent"/>
        <w:numPr>
          <w:ilvl w:val="0"/>
          <w:numId w:val="1"/>
        </w:numPr>
        <w:rPr>
          <w:rFonts w:asciiTheme="minorHAnsi" w:hAnsiTheme="minorHAnsi"/>
        </w:rPr>
      </w:pPr>
      <w:r w:rsidRPr="0028360B">
        <w:rPr>
          <w:rFonts w:asciiTheme="minorHAnsi" w:hAnsiTheme="minorHAnsi"/>
        </w:rPr>
        <w:lastRenderedPageBreak/>
        <w:t>Describe the use of physical activity</w:t>
      </w:r>
      <w:r w:rsidR="006D5830">
        <w:rPr>
          <w:rFonts w:asciiTheme="minorHAnsi" w:hAnsiTheme="minorHAnsi"/>
        </w:rPr>
        <w:t xml:space="preserve">, </w:t>
      </w:r>
      <w:r w:rsidRPr="0028360B">
        <w:rPr>
          <w:rFonts w:asciiTheme="minorHAnsi" w:hAnsiTheme="minorHAnsi"/>
        </w:rPr>
        <w:t>pre-therapy</w:t>
      </w:r>
      <w:r w:rsidR="006D5830">
        <w:rPr>
          <w:rFonts w:asciiTheme="minorHAnsi" w:hAnsiTheme="minorHAnsi"/>
        </w:rPr>
        <w:t>, and person-centered care</w:t>
      </w:r>
      <w:r w:rsidRPr="0028360B">
        <w:rPr>
          <w:rFonts w:asciiTheme="minorHAnsi" w:hAnsiTheme="minorHAnsi"/>
        </w:rPr>
        <w:t xml:space="preserve"> as interventions to help patients with Alzheimer’s disease. </w:t>
      </w:r>
    </w:p>
    <w:p w14:paraId="2A5A5D5B" w14:textId="56A57D85" w:rsidR="00E0176F" w:rsidRPr="0028360B" w:rsidRDefault="00E0176F" w:rsidP="00FD5406">
      <w:pPr>
        <w:pStyle w:val="APANon-indent"/>
        <w:numPr>
          <w:ilvl w:val="0"/>
          <w:numId w:val="1"/>
        </w:numPr>
        <w:rPr>
          <w:rFonts w:asciiTheme="minorHAnsi" w:hAnsiTheme="minorHAnsi"/>
        </w:rPr>
      </w:pPr>
      <w:r>
        <w:rPr>
          <w:rFonts w:asciiTheme="minorHAnsi" w:hAnsiTheme="minorHAnsi"/>
        </w:rPr>
        <w:t xml:space="preserve">How is social connectedness related to </w:t>
      </w:r>
      <w:r w:rsidR="008F0418">
        <w:rPr>
          <w:rFonts w:asciiTheme="minorHAnsi" w:hAnsiTheme="minorHAnsi"/>
        </w:rPr>
        <w:t>risk of dementia?</w:t>
      </w:r>
    </w:p>
    <w:p w14:paraId="5CB103BD"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are day care and long-term care? How are such programs used with patients experiencing dementia and other cognitive difficulties? What are the advantages and drawbacks of these programs?</w:t>
      </w:r>
    </w:p>
    <w:p w14:paraId="0DE940F4" w14:textId="77777777" w:rsidR="00FD5406" w:rsidRPr="0028360B" w:rsidRDefault="00FD5406" w:rsidP="00FD5406">
      <w:pPr>
        <w:pStyle w:val="APANon-indent"/>
        <w:numPr>
          <w:ilvl w:val="0"/>
          <w:numId w:val="1"/>
        </w:numPr>
        <w:rPr>
          <w:rFonts w:asciiTheme="minorHAnsi" w:hAnsiTheme="minorHAnsi"/>
        </w:rPr>
      </w:pPr>
      <w:r w:rsidRPr="0028360B">
        <w:rPr>
          <w:rFonts w:asciiTheme="minorHAnsi" w:hAnsiTheme="minorHAnsi"/>
        </w:rPr>
        <w:t>What roles can culture and context play in understandings of cognitive decline among older people?</w:t>
      </w:r>
    </w:p>
    <w:p w14:paraId="486D9B92" w14:textId="77777777" w:rsidR="00E930E1" w:rsidRPr="0028360B" w:rsidRDefault="00E930E1"/>
    <w:sectPr w:rsidR="00E930E1" w:rsidRPr="0028360B" w:rsidSect="003D2D5F">
      <w:headerReference w:type="default"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F316A" w14:textId="77777777" w:rsidR="003D2D5F" w:rsidRDefault="003D2D5F" w:rsidP="0028360B">
      <w:pPr>
        <w:spacing w:after="0" w:line="240" w:lineRule="auto"/>
      </w:pPr>
      <w:r>
        <w:separator/>
      </w:r>
    </w:p>
  </w:endnote>
  <w:endnote w:type="continuationSeparator" w:id="0">
    <w:p w14:paraId="52D2FD9D" w14:textId="77777777" w:rsidR="003D2D5F" w:rsidRDefault="003D2D5F" w:rsidP="002836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575D8" w14:textId="77777777" w:rsidR="0028360B" w:rsidRDefault="0028360B">
    <w:pPr>
      <w:pStyle w:val="Footer"/>
      <w:rPr>
        <w:color w:val="808080" w:themeColor="background1" w:themeShade="80"/>
        <w:lang w:val="en-US"/>
      </w:rPr>
    </w:pPr>
  </w:p>
  <w:p w14:paraId="3B106613" w14:textId="77777777" w:rsidR="009A3BE9" w:rsidRDefault="009A3BE9" w:rsidP="009A3BE9">
    <w:pPr>
      <w:pStyle w:val="Footer"/>
      <w:rPr>
        <w:color w:val="808080" w:themeColor="background1" w:themeShade="80"/>
        <w:lang w:val="en-US"/>
      </w:rPr>
    </w:pPr>
  </w:p>
  <w:sdt>
    <w:sdtPr>
      <w:rPr>
        <w:rStyle w:val="PageNumber"/>
      </w:rPr>
      <w:id w:val="-1306473753"/>
      <w:docPartObj>
        <w:docPartGallery w:val="Page Numbers (Bottom of Page)"/>
        <w:docPartUnique/>
      </w:docPartObj>
    </w:sdtPr>
    <w:sdtEndPr>
      <w:rPr>
        <w:rStyle w:val="PageNumber"/>
      </w:rPr>
    </w:sdtEndPr>
    <w:sdtContent>
      <w:p w14:paraId="7F28B174" w14:textId="77777777" w:rsidR="009A3BE9" w:rsidRDefault="009A3BE9" w:rsidP="009A3BE9">
        <w:pPr>
          <w:pStyle w:val="Footer"/>
          <w:framePr w:wrap="none" w:vAnchor="text" w:hAnchor="page" w:x="10694"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5BA098BD" w14:textId="679B6E9A" w:rsidR="009A3BE9" w:rsidRDefault="009A3BE9" w:rsidP="009A3BE9">
    <w:pPr>
      <w:pStyle w:val="Footer"/>
      <w:ind w:right="360"/>
      <w:rPr>
        <w:color w:val="808080" w:themeColor="background1" w:themeShade="80"/>
      </w:rPr>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p w14:paraId="781768BD" w14:textId="77777777" w:rsidR="008E63BB" w:rsidRPr="009A3BE9" w:rsidRDefault="008E63BB" w:rsidP="009A3B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13CB3" w14:textId="77777777" w:rsidR="0028360B" w:rsidRDefault="0028360B">
    <w:pPr>
      <w:pStyle w:val="Footer"/>
      <w:rPr>
        <w:color w:val="808080" w:themeColor="background1" w:themeShade="80"/>
        <w:lang w:val="en-US"/>
      </w:rPr>
    </w:pPr>
  </w:p>
  <w:p w14:paraId="2FD33050" w14:textId="77777777" w:rsidR="009A3BE9" w:rsidRDefault="009A3BE9" w:rsidP="009A3BE9">
    <w:pPr>
      <w:pStyle w:val="Footer"/>
      <w:rPr>
        <w:color w:val="808080" w:themeColor="background1" w:themeShade="80"/>
        <w:lang w:val="en-US"/>
      </w:rPr>
    </w:pPr>
  </w:p>
  <w:p w14:paraId="6F397618" w14:textId="24FB4834" w:rsidR="009A3BE9" w:rsidRPr="009A3BE9" w:rsidRDefault="009A3BE9" w:rsidP="009A3BE9">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22359" w14:textId="77777777" w:rsidR="003D2D5F" w:rsidRDefault="003D2D5F" w:rsidP="0028360B">
      <w:pPr>
        <w:spacing w:after="0" w:line="240" w:lineRule="auto"/>
      </w:pPr>
      <w:r>
        <w:separator/>
      </w:r>
    </w:p>
  </w:footnote>
  <w:footnote w:type="continuationSeparator" w:id="0">
    <w:p w14:paraId="7CBE74D7" w14:textId="77777777" w:rsidR="003D2D5F" w:rsidRDefault="003D2D5F" w:rsidP="002836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EC810" w14:textId="105AB00E" w:rsidR="0028360B" w:rsidRDefault="0028360B">
    <w:pPr>
      <w:pStyle w:val="Header"/>
    </w:pPr>
  </w:p>
  <w:p w14:paraId="1B9DF1FF" w14:textId="77777777" w:rsidR="0028360B" w:rsidRDefault="002836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1FB3" w14:textId="2F4345F5" w:rsidR="0028360B" w:rsidRDefault="00B90D25">
    <w:pPr>
      <w:pStyle w:val="Header"/>
    </w:pPr>
    <w:r>
      <w:rPr>
        <w:rStyle w:val="wacimagecontainer"/>
        <w:rFonts w:ascii="Segoe UI" w:hAnsi="Segoe UI" w:cs="Segoe UI"/>
        <w:noProof/>
        <w:color w:val="000000"/>
        <w:sz w:val="18"/>
        <w:szCs w:val="18"/>
        <w:shd w:val="clear" w:color="auto" w:fill="FFFFFF"/>
      </w:rPr>
      <w:drawing>
        <wp:inline distT="0" distB="0" distL="0" distR="0" wp14:anchorId="77F6F551" wp14:editId="0CA4F478">
          <wp:extent cx="5943600" cy="519430"/>
          <wp:effectExtent l="0" t="0" r="0" b="0"/>
          <wp:docPr id="13457675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30"/>
                  </a:xfrm>
                  <a:prstGeom prst="rect">
                    <a:avLst/>
                  </a:prstGeom>
                  <a:noFill/>
                  <a:ln>
                    <a:noFill/>
                  </a:ln>
                </pic:spPr>
              </pic:pic>
            </a:graphicData>
          </a:graphic>
        </wp:inline>
      </w:drawing>
    </w:r>
    <w:r>
      <w:rPr>
        <w:rFonts w:ascii="Calibri" w:hAnsi="Calibri" w:cs="Calibri"/>
        <w:color w:val="000000"/>
        <w:shd w:val="clear" w:color="auto" w:fill="FFFFFF"/>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C32A53"/>
    <w:multiLevelType w:val="hybridMultilevel"/>
    <w:tmpl w:val="D91237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99859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406"/>
    <w:rsid w:val="00111558"/>
    <w:rsid w:val="001C1A5A"/>
    <w:rsid w:val="0028360B"/>
    <w:rsid w:val="0039230B"/>
    <w:rsid w:val="003D2D5F"/>
    <w:rsid w:val="0051312F"/>
    <w:rsid w:val="006442E1"/>
    <w:rsid w:val="006A5A1D"/>
    <w:rsid w:val="006D5830"/>
    <w:rsid w:val="008B6006"/>
    <w:rsid w:val="008E63BB"/>
    <w:rsid w:val="008F0418"/>
    <w:rsid w:val="009228D8"/>
    <w:rsid w:val="009A3BE9"/>
    <w:rsid w:val="009B6AA8"/>
    <w:rsid w:val="00B90D25"/>
    <w:rsid w:val="00D95EA7"/>
    <w:rsid w:val="00E0176F"/>
    <w:rsid w:val="00E930E1"/>
    <w:rsid w:val="00EA20DF"/>
    <w:rsid w:val="00EF5BE3"/>
    <w:rsid w:val="00F301C2"/>
    <w:rsid w:val="00FB14A1"/>
    <w:rsid w:val="00FD5406"/>
    <w:rsid w:val="00FF58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0F09F5"/>
  <w15:docId w15:val="{64E23F25-FC60-4C66-9FE2-925638776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FD5406"/>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5406"/>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FD5406"/>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FD5406"/>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2836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60B"/>
  </w:style>
  <w:style w:type="paragraph" w:styleId="Footer">
    <w:name w:val="footer"/>
    <w:basedOn w:val="Normal"/>
    <w:link w:val="FooterChar"/>
    <w:uiPriority w:val="99"/>
    <w:unhideWhenUsed/>
    <w:rsid w:val="002836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360B"/>
  </w:style>
  <w:style w:type="paragraph" w:styleId="BalloonText">
    <w:name w:val="Balloon Text"/>
    <w:basedOn w:val="Normal"/>
    <w:link w:val="BalloonTextChar"/>
    <w:uiPriority w:val="99"/>
    <w:semiHidden/>
    <w:unhideWhenUsed/>
    <w:rsid w:val="002836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360B"/>
    <w:rPr>
      <w:rFonts w:ascii="Tahoma" w:hAnsi="Tahoma" w:cs="Tahoma"/>
      <w:sz w:val="16"/>
      <w:szCs w:val="16"/>
    </w:rPr>
  </w:style>
  <w:style w:type="character" w:customStyle="1" w:styleId="wacimagecontainer">
    <w:name w:val="wacimagecontainer"/>
    <w:basedOn w:val="DefaultParagraphFont"/>
    <w:rsid w:val="00B90D25"/>
  </w:style>
  <w:style w:type="paragraph" w:styleId="Revision">
    <w:name w:val="Revision"/>
    <w:hidden/>
    <w:uiPriority w:val="99"/>
    <w:semiHidden/>
    <w:rsid w:val="009A3BE9"/>
    <w:pPr>
      <w:spacing w:after="0" w:line="240" w:lineRule="auto"/>
    </w:pPr>
  </w:style>
  <w:style w:type="character" w:styleId="PageNumber">
    <w:name w:val="page number"/>
    <w:basedOn w:val="DefaultParagraphFont"/>
    <w:uiPriority w:val="99"/>
    <w:semiHidden/>
    <w:unhideWhenUsed/>
    <w:rsid w:val="009A3B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eachers xmlns="8f2ef2ea-a927-41c4-b65f-14657ce7c0a3">
      <UserInfo>
        <DisplayName/>
        <AccountId xsi:nil="true"/>
        <AccountType/>
      </UserInfo>
    </Teachers>
    <Student_Groups xmlns="8f2ef2ea-a927-41c4-b65f-14657ce7c0a3">
      <UserInfo>
        <DisplayName/>
        <AccountId xsi:nil="true"/>
        <AccountType/>
      </UserInfo>
    </Student_Groups>
    <Students xmlns="8f2ef2ea-a927-41c4-b65f-14657ce7c0a3">
      <UserInfo>
        <DisplayName/>
        <AccountId xsi:nil="true"/>
        <AccountType/>
      </UserInfo>
    </Students>
    <Has_Teacher_Only_SectionGroup xmlns="8f2ef2ea-a927-41c4-b65f-14657ce7c0a3" xsi:nil="true"/>
    <Self_Registration_Enabled xmlns="8f2ef2ea-a927-41c4-b65f-14657ce7c0a3" xsi:nil="true"/>
    <AppVersion xmlns="8f2ef2ea-a927-41c4-b65f-14657ce7c0a3" xsi:nil="true"/>
    <Invited_Teachers xmlns="8f2ef2ea-a927-41c4-b65f-14657ce7c0a3" xsi:nil="true"/>
    <NotebookType xmlns="8f2ef2ea-a927-41c4-b65f-14657ce7c0a3" xsi:nil="true"/>
    <FolderType xmlns="8f2ef2ea-a927-41c4-b65f-14657ce7c0a3" xsi:nil="true"/>
    <Owner xmlns="8f2ef2ea-a927-41c4-b65f-14657ce7c0a3">
      <UserInfo>
        <DisplayName/>
        <AccountId xsi:nil="true"/>
        <AccountType/>
      </UserInfo>
    </Owner>
    <CultureName xmlns="8f2ef2ea-a927-41c4-b65f-14657ce7c0a3" xsi:nil="true"/>
    <_activity xmlns="8f2ef2ea-a927-41c4-b65f-14657ce7c0a3" xsi:nil="true"/>
    <Invited_Students xmlns="8f2ef2ea-a927-41c4-b65f-14657ce7c0a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5C6818C4CC10F45891B2C3482B8D64B" ma:contentTypeVersion="29" ma:contentTypeDescription="Create a new document." ma:contentTypeScope="" ma:versionID="860def637045ed56c9840bee5308b7dd">
  <xsd:schema xmlns:xsd="http://www.w3.org/2001/XMLSchema" xmlns:xs="http://www.w3.org/2001/XMLSchema" xmlns:p="http://schemas.microsoft.com/office/2006/metadata/properties" xmlns:ns3="a0be256b-0d89-466c-ae7c-c12c9ec57dde" xmlns:ns4="8f2ef2ea-a927-41c4-b65f-14657ce7c0a3" targetNamespace="http://schemas.microsoft.com/office/2006/metadata/properties" ma:root="true" ma:fieldsID="93002618f94785cfef7effaf7e7ceb84" ns3:_="" ns4:_="">
    <xsd:import namespace="a0be256b-0d89-466c-ae7c-c12c9ec57dde"/>
    <xsd:import namespace="8f2ef2ea-a927-41c4-b65f-14657ce7c0a3"/>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e256b-0d89-466c-ae7c-c12c9ec57d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2ef2ea-a927-41c4-b65f-14657ce7c0a3"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element name="MediaServiceDateTaken" ma:index="25" nillable="true" ma:displayName="MediaServiceDateTaken" ma:description="" ma:hidden="true" ma:internalName="MediaServiceDateTaken" ma:readOnly="true">
      <xsd:simpleType>
        <xsd:restriction base="dms:Text"/>
      </xsd:simpleType>
    </xsd:element>
    <xsd:element name="MediaServiceAutoTags" ma:index="26" nillable="true" ma:displayName="MediaServiceAutoTags" ma:description="" ma:internalName="MediaServiceAutoTags" ma:readOnly="true">
      <xsd:simpleType>
        <xsd:restriction base="dms:Text"/>
      </xsd:simpleType>
    </xsd:element>
    <xsd:element name="MediaServiceOCR" ma:index="27" nillable="true" ma:displayName="MediaServiceOCR" ma:internalName="MediaServiceOCR" ma:readOnly="true">
      <xsd:simpleType>
        <xsd:restriction base="dms:Note">
          <xsd:maxLength value="255"/>
        </xsd:restriction>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Location" ma:index="32" nillable="true" ma:displayName="Location" ma:internalName="MediaServiceLocatio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_activity" ma:index="34" nillable="true" ma:displayName="_activity" ma:hidden="true" ma:internalName="_activity">
      <xsd:simpleType>
        <xsd:restriction base="dms:Note"/>
      </xsd:simpleType>
    </xsd:element>
    <xsd:element name="MediaServiceObjectDetectorVersions" ma:index="35" nillable="true" ma:displayName="MediaServiceObjectDetectorVersions" ma:description="" ma:hidden="true" ma:indexed="true" ma:internalName="MediaServiceObjectDetectorVersions" ma:readOnly="true">
      <xsd:simpleType>
        <xsd:restriction base="dms:Text"/>
      </xsd:simpleType>
    </xsd:element>
    <xsd:element name="MediaServiceSystemTags" ma:index="3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47E898-ED31-44A4-9D65-89663EC65D18}">
  <ds:schemaRefs>
    <ds:schemaRef ds:uri="http://schemas.microsoft.com/office/2006/metadata/properties"/>
    <ds:schemaRef ds:uri="http://schemas.microsoft.com/office/infopath/2007/PartnerControls"/>
    <ds:schemaRef ds:uri="8f2ef2ea-a927-41c4-b65f-14657ce7c0a3"/>
  </ds:schemaRefs>
</ds:datastoreItem>
</file>

<file path=customXml/itemProps2.xml><?xml version="1.0" encoding="utf-8"?>
<ds:datastoreItem xmlns:ds="http://schemas.openxmlformats.org/officeDocument/2006/customXml" ds:itemID="{D7B231FB-7BCC-4AD6-A2C8-7B0BD97AAF7D}">
  <ds:schemaRefs>
    <ds:schemaRef ds:uri="http://schemas.microsoft.com/sharepoint/v3/contenttype/forms"/>
  </ds:schemaRefs>
</ds:datastoreItem>
</file>

<file path=customXml/itemProps3.xml><?xml version="1.0" encoding="utf-8"?>
<ds:datastoreItem xmlns:ds="http://schemas.openxmlformats.org/officeDocument/2006/customXml" ds:itemID="{AC15D98E-0123-42D6-B2D8-8515B51B6E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e256b-0d89-466c-ae7c-c12c9ec57dde"/>
    <ds:schemaRef ds:uri="8f2ef2ea-a927-41c4-b65f-14657ce7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4</Pages>
  <Words>643</Words>
  <Characters>3670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4305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18</cp:revision>
  <dcterms:created xsi:type="dcterms:W3CDTF">2023-12-18T19:49:00Z</dcterms:created>
  <dcterms:modified xsi:type="dcterms:W3CDTF">2024-02-23T19:13:00Z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0x01010045C6818C4CC10F45891B2C3482B8D64B</vt:lpwstr>
  </property>
</Properties>
</file>