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6678" w14:textId="77777777" w:rsidR="00965D3D" w:rsidRDefault="00965D3D" w:rsidP="00965D3D">
      <w:pPr>
        <w:pStyle w:val="Heading6"/>
      </w:pPr>
      <w:bookmarkStart w:id="0" w:name="_Toc490121928"/>
      <w:bookmarkStart w:id="1" w:name="_Toc499883941"/>
      <w:r>
        <w:t>Try It Yourself: Theoretical Evaluation Self-Test</w:t>
      </w:r>
      <w:bookmarkEnd w:id="0"/>
      <w:bookmarkEnd w:id="1"/>
      <w:r>
        <w:t xml:space="preserve"> </w:t>
      </w:r>
    </w:p>
    <w:p w14:paraId="25C8EB27" w14:textId="77777777" w:rsidR="00965D3D" w:rsidRDefault="00965D3D" w:rsidP="00965D3D">
      <w:r>
        <w:rPr>
          <w:noProof/>
          <w:lang w:val="en-GB" w:eastAsia="en-GB"/>
        </w:rPr>
        <w:drawing>
          <wp:inline distT="0" distB="0" distL="0" distR="0" wp14:anchorId="55040045" wp14:editId="158B38B3">
            <wp:extent cx="8229600" cy="499681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leman-theoretical-orientation-test-p1.pdf"/>
                    <pic:cNvPicPr/>
                  </pic:nvPicPr>
                  <pic:blipFill>
                    <a:blip r:embed="rId4">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27F1FDAD" w14:textId="77777777" w:rsidR="00965D3D" w:rsidRPr="004027B8" w:rsidRDefault="00965D3D" w:rsidP="00965D3D">
      <w:pPr>
        <w:sectPr w:rsidR="00965D3D" w:rsidRPr="004027B8" w:rsidSect="00DD6C87">
          <w:pgSz w:w="15840" w:h="12240" w:orient="landscape"/>
          <w:pgMar w:top="1440" w:right="1440" w:bottom="1440" w:left="1440" w:header="720" w:footer="720" w:gutter="0"/>
          <w:cols w:space="720"/>
          <w:docGrid w:linePitch="360"/>
        </w:sectPr>
      </w:pPr>
    </w:p>
    <w:p w14:paraId="099DACC5" w14:textId="77777777" w:rsidR="00965D3D" w:rsidRPr="0073537A" w:rsidRDefault="00965D3D" w:rsidP="00965D3D">
      <w:pPr>
        <w:pStyle w:val="Heading4"/>
      </w:pPr>
      <w:r>
        <w:lastRenderedPageBreak/>
        <w:t>Scoring</w:t>
      </w:r>
    </w:p>
    <w:tbl>
      <w:tblPr>
        <w:tblStyle w:val="TableGrid"/>
        <w:tblW w:w="8905" w:type="dxa"/>
        <w:tblLook w:val="04A0" w:firstRow="1" w:lastRow="0" w:firstColumn="1" w:lastColumn="0" w:noHBand="0" w:noVBand="1"/>
      </w:tblPr>
      <w:tblGrid>
        <w:gridCol w:w="4855"/>
        <w:gridCol w:w="1530"/>
        <w:gridCol w:w="2520"/>
      </w:tblGrid>
      <w:tr w:rsidR="00965D3D" w:rsidRPr="0073537A" w14:paraId="5A36E20B" w14:textId="77777777" w:rsidTr="00613F05">
        <w:trPr>
          <w:trHeight w:val="596"/>
        </w:trPr>
        <w:tc>
          <w:tcPr>
            <w:tcW w:w="4855" w:type="dxa"/>
            <w:hideMark/>
          </w:tcPr>
          <w:p w14:paraId="00F9A9A8" w14:textId="77777777" w:rsidR="00965D3D" w:rsidRPr="0073537A" w:rsidRDefault="00965D3D" w:rsidP="00613F05">
            <w:r w:rsidRPr="0073537A">
              <w:t>SUBSCALE</w:t>
            </w:r>
          </w:p>
          <w:p w14:paraId="04EE4C54" w14:textId="77777777" w:rsidR="00965D3D" w:rsidRPr="0073537A" w:rsidRDefault="00965D3D" w:rsidP="00613F05">
            <w:r w:rsidRPr="0073537A">
              <w:t> </w:t>
            </w:r>
          </w:p>
        </w:tc>
        <w:tc>
          <w:tcPr>
            <w:tcW w:w="1530" w:type="dxa"/>
            <w:hideMark/>
          </w:tcPr>
          <w:p w14:paraId="44F2F222" w14:textId="77777777" w:rsidR="00965D3D" w:rsidRPr="0073537A" w:rsidRDefault="00965D3D" w:rsidP="00613F05">
            <w:r w:rsidRPr="0073537A">
              <w:t>YOUR SCORE</w:t>
            </w:r>
          </w:p>
          <w:p w14:paraId="373FC97E" w14:textId="77777777" w:rsidR="00965D3D" w:rsidRPr="0073537A" w:rsidRDefault="00965D3D" w:rsidP="00613F05">
            <w:r w:rsidRPr="0073537A">
              <w:t> </w:t>
            </w:r>
          </w:p>
        </w:tc>
        <w:tc>
          <w:tcPr>
            <w:tcW w:w="2520" w:type="dxa"/>
            <w:hideMark/>
          </w:tcPr>
          <w:p w14:paraId="2521B7C6" w14:textId="77777777" w:rsidR="00965D3D" w:rsidRPr="0073537A" w:rsidRDefault="00965D3D" w:rsidP="00613F05">
            <w:r w:rsidRPr="0073537A">
              <w:t>SAMPLE OF 130</w:t>
            </w:r>
          </w:p>
          <w:p w14:paraId="1993E7F8" w14:textId="77777777" w:rsidR="00965D3D" w:rsidRPr="0073537A" w:rsidRDefault="00965D3D" w:rsidP="00613F05">
            <w:r w:rsidRPr="00F11006">
              <w:rPr>
                <w:sz w:val="20"/>
                <w:szCs w:val="20"/>
              </w:rPr>
              <w:t>mean / standard deviation</w:t>
            </w:r>
          </w:p>
        </w:tc>
      </w:tr>
      <w:tr w:rsidR="00965D3D" w:rsidRPr="0073537A" w14:paraId="2A6BB86F" w14:textId="77777777" w:rsidTr="00613F05">
        <w:tc>
          <w:tcPr>
            <w:tcW w:w="4855" w:type="dxa"/>
            <w:hideMark/>
          </w:tcPr>
          <w:p w14:paraId="068AAEBE" w14:textId="77777777" w:rsidR="00965D3D" w:rsidRDefault="00965D3D" w:rsidP="00613F05">
            <w:r w:rsidRPr="0073537A">
              <w:t>Psychodynamic</w:t>
            </w:r>
          </w:p>
          <w:p w14:paraId="115E7456" w14:textId="77777777" w:rsidR="00965D3D" w:rsidRPr="00F11006" w:rsidRDefault="00965D3D" w:rsidP="00613F05">
            <w:pPr>
              <w:rPr>
                <w:sz w:val="20"/>
                <w:szCs w:val="20"/>
              </w:rPr>
            </w:pPr>
            <w:r w:rsidRPr="00F11006">
              <w:rPr>
                <w:sz w:val="20"/>
                <w:szCs w:val="20"/>
              </w:rPr>
              <w:t>Sum totals for Items 1, 9, 20, 27, and 30 and divide by 5</w:t>
            </w:r>
          </w:p>
        </w:tc>
        <w:tc>
          <w:tcPr>
            <w:tcW w:w="1530" w:type="dxa"/>
            <w:hideMark/>
          </w:tcPr>
          <w:p w14:paraId="6FA1BB64" w14:textId="77777777" w:rsidR="00965D3D" w:rsidRPr="0073537A" w:rsidRDefault="00965D3D" w:rsidP="00613F05"/>
        </w:tc>
        <w:tc>
          <w:tcPr>
            <w:tcW w:w="2520" w:type="dxa"/>
            <w:hideMark/>
          </w:tcPr>
          <w:p w14:paraId="2A9ED55A" w14:textId="77777777" w:rsidR="00965D3D" w:rsidRPr="0073537A" w:rsidRDefault="00965D3D" w:rsidP="00613F05">
            <w:r w:rsidRPr="0073537A">
              <w:t xml:space="preserve">26.2 </w:t>
            </w:r>
            <w:r>
              <w:t xml:space="preserve">/ </w:t>
            </w:r>
            <w:r w:rsidRPr="0073537A">
              <w:t>5.2</w:t>
            </w:r>
          </w:p>
        </w:tc>
      </w:tr>
      <w:tr w:rsidR="00965D3D" w:rsidRPr="0073537A" w14:paraId="2C8149CD" w14:textId="77777777" w:rsidTr="00613F05">
        <w:tc>
          <w:tcPr>
            <w:tcW w:w="4855" w:type="dxa"/>
            <w:hideMark/>
          </w:tcPr>
          <w:p w14:paraId="018F52E5" w14:textId="77777777" w:rsidR="00965D3D" w:rsidRDefault="00965D3D" w:rsidP="00613F05">
            <w:r w:rsidRPr="0073537A">
              <w:t>Biological</w:t>
            </w:r>
          </w:p>
          <w:p w14:paraId="726BC320" w14:textId="77777777" w:rsidR="00965D3D" w:rsidRPr="00F11006" w:rsidRDefault="00965D3D" w:rsidP="00613F05">
            <w:pPr>
              <w:rPr>
                <w:sz w:val="20"/>
                <w:szCs w:val="20"/>
              </w:rPr>
            </w:pPr>
            <w:r w:rsidRPr="00F11006">
              <w:rPr>
                <w:sz w:val="20"/>
                <w:szCs w:val="20"/>
              </w:rPr>
              <w:t>Sum totals for Items 8, 17, 23, and 29 and divide by 4</w:t>
            </w:r>
          </w:p>
        </w:tc>
        <w:tc>
          <w:tcPr>
            <w:tcW w:w="1530" w:type="dxa"/>
            <w:hideMark/>
          </w:tcPr>
          <w:p w14:paraId="2B299BB6" w14:textId="77777777" w:rsidR="00965D3D" w:rsidRPr="0073537A" w:rsidRDefault="00965D3D" w:rsidP="00613F05"/>
        </w:tc>
        <w:tc>
          <w:tcPr>
            <w:tcW w:w="2520" w:type="dxa"/>
            <w:hideMark/>
          </w:tcPr>
          <w:p w14:paraId="76476882" w14:textId="77777777" w:rsidR="00965D3D" w:rsidRPr="0073537A" w:rsidRDefault="00965D3D" w:rsidP="00613F05">
            <w:r w:rsidRPr="0073537A">
              <w:t xml:space="preserve">14.6 </w:t>
            </w:r>
            <w:r>
              <w:t xml:space="preserve">/ </w:t>
            </w:r>
            <w:r w:rsidRPr="0073537A">
              <w:t>4.0</w:t>
            </w:r>
          </w:p>
        </w:tc>
      </w:tr>
      <w:tr w:rsidR="00965D3D" w:rsidRPr="0073537A" w14:paraId="27D134AC" w14:textId="77777777" w:rsidTr="00613F05">
        <w:tc>
          <w:tcPr>
            <w:tcW w:w="4855" w:type="dxa"/>
            <w:hideMark/>
          </w:tcPr>
          <w:p w14:paraId="76F8F9A3" w14:textId="77777777" w:rsidR="00965D3D" w:rsidRDefault="00965D3D" w:rsidP="00613F05">
            <w:r w:rsidRPr="0073537A">
              <w:t>Family</w:t>
            </w:r>
          </w:p>
          <w:p w14:paraId="488DDCF2" w14:textId="77777777" w:rsidR="00965D3D" w:rsidRPr="00F11006" w:rsidRDefault="00965D3D" w:rsidP="00613F05">
            <w:pPr>
              <w:rPr>
                <w:sz w:val="20"/>
                <w:szCs w:val="20"/>
              </w:rPr>
            </w:pPr>
            <w:r w:rsidRPr="00F11006">
              <w:rPr>
                <w:sz w:val="20"/>
                <w:szCs w:val="20"/>
              </w:rPr>
              <w:t>Sum totals for Items 4, 13, 22, and 25 and divide by 4</w:t>
            </w:r>
          </w:p>
        </w:tc>
        <w:tc>
          <w:tcPr>
            <w:tcW w:w="1530" w:type="dxa"/>
            <w:hideMark/>
          </w:tcPr>
          <w:p w14:paraId="05621E23" w14:textId="77777777" w:rsidR="00965D3D" w:rsidRPr="0073537A" w:rsidRDefault="00965D3D" w:rsidP="00613F05"/>
        </w:tc>
        <w:tc>
          <w:tcPr>
            <w:tcW w:w="2520" w:type="dxa"/>
            <w:hideMark/>
          </w:tcPr>
          <w:p w14:paraId="202ADF9C" w14:textId="77777777" w:rsidR="00965D3D" w:rsidRPr="0073537A" w:rsidRDefault="00965D3D" w:rsidP="00613F05">
            <w:r>
              <w:t xml:space="preserve">18.2 / </w:t>
            </w:r>
            <w:r w:rsidRPr="0073537A">
              <w:t>4.0</w:t>
            </w:r>
          </w:p>
        </w:tc>
      </w:tr>
      <w:tr w:rsidR="00965D3D" w:rsidRPr="0073537A" w14:paraId="16254453" w14:textId="77777777" w:rsidTr="00613F05">
        <w:tc>
          <w:tcPr>
            <w:tcW w:w="4855" w:type="dxa"/>
            <w:hideMark/>
          </w:tcPr>
          <w:p w14:paraId="1FDE6B86" w14:textId="77777777" w:rsidR="00965D3D" w:rsidRDefault="00965D3D" w:rsidP="00613F05">
            <w:r w:rsidRPr="0073537A">
              <w:t>Ecosystems</w:t>
            </w:r>
          </w:p>
          <w:p w14:paraId="32CFC0A2" w14:textId="77777777" w:rsidR="00965D3D" w:rsidRPr="00F11006" w:rsidRDefault="00965D3D" w:rsidP="00613F05">
            <w:pPr>
              <w:rPr>
                <w:sz w:val="20"/>
                <w:szCs w:val="20"/>
              </w:rPr>
            </w:pPr>
            <w:r w:rsidRPr="00F11006">
              <w:rPr>
                <w:sz w:val="20"/>
                <w:szCs w:val="20"/>
              </w:rPr>
              <w:t>Sum totals for Items 16, 19, 24, and 26 and divide by 4</w:t>
            </w:r>
          </w:p>
        </w:tc>
        <w:tc>
          <w:tcPr>
            <w:tcW w:w="1530" w:type="dxa"/>
            <w:hideMark/>
          </w:tcPr>
          <w:p w14:paraId="671DCF3B" w14:textId="77777777" w:rsidR="00965D3D" w:rsidRPr="0073537A" w:rsidRDefault="00965D3D" w:rsidP="00613F05"/>
        </w:tc>
        <w:tc>
          <w:tcPr>
            <w:tcW w:w="2520" w:type="dxa"/>
            <w:hideMark/>
          </w:tcPr>
          <w:p w14:paraId="7DA3F61A" w14:textId="77777777" w:rsidR="00965D3D" w:rsidRPr="0073537A" w:rsidRDefault="00965D3D" w:rsidP="00613F05">
            <w:r w:rsidRPr="0073537A">
              <w:t xml:space="preserve">24.2 </w:t>
            </w:r>
            <w:r>
              <w:t xml:space="preserve">/ </w:t>
            </w:r>
            <w:r w:rsidRPr="0073537A">
              <w:t>2.6</w:t>
            </w:r>
          </w:p>
        </w:tc>
      </w:tr>
      <w:tr w:rsidR="00965D3D" w:rsidRPr="0073537A" w14:paraId="67F5D7D7" w14:textId="77777777" w:rsidTr="00613F05">
        <w:tc>
          <w:tcPr>
            <w:tcW w:w="4855" w:type="dxa"/>
            <w:hideMark/>
          </w:tcPr>
          <w:p w14:paraId="2EBAE7D0" w14:textId="77777777" w:rsidR="00965D3D" w:rsidRDefault="00965D3D" w:rsidP="00613F05">
            <w:r w:rsidRPr="0073537A">
              <w:t>Cognitive</w:t>
            </w:r>
          </w:p>
          <w:p w14:paraId="535BF13A" w14:textId="77777777" w:rsidR="00965D3D" w:rsidRPr="00F11006" w:rsidRDefault="00965D3D" w:rsidP="00613F05">
            <w:pPr>
              <w:rPr>
                <w:sz w:val="20"/>
                <w:szCs w:val="20"/>
              </w:rPr>
            </w:pPr>
            <w:r w:rsidRPr="00F11006">
              <w:rPr>
                <w:sz w:val="20"/>
                <w:szCs w:val="20"/>
              </w:rPr>
              <w:t>Sum totals for Items 2, 6, 15, 21, and 28 and divide by 5</w:t>
            </w:r>
          </w:p>
        </w:tc>
        <w:tc>
          <w:tcPr>
            <w:tcW w:w="1530" w:type="dxa"/>
            <w:hideMark/>
          </w:tcPr>
          <w:p w14:paraId="09420FAC" w14:textId="77777777" w:rsidR="00965D3D" w:rsidRPr="0073537A" w:rsidRDefault="00965D3D" w:rsidP="00613F05"/>
        </w:tc>
        <w:tc>
          <w:tcPr>
            <w:tcW w:w="2520" w:type="dxa"/>
            <w:hideMark/>
          </w:tcPr>
          <w:p w14:paraId="465FE58B" w14:textId="77777777" w:rsidR="00965D3D" w:rsidRPr="0073537A" w:rsidRDefault="00965D3D" w:rsidP="00613F05">
            <w:r>
              <w:t xml:space="preserve">25 / </w:t>
            </w:r>
            <w:r w:rsidRPr="0073537A">
              <w:t>4.5</w:t>
            </w:r>
          </w:p>
        </w:tc>
      </w:tr>
      <w:tr w:rsidR="00965D3D" w:rsidRPr="0073537A" w14:paraId="0680BCFB" w14:textId="77777777" w:rsidTr="00613F05">
        <w:tc>
          <w:tcPr>
            <w:tcW w:w="4855" w:type="dxa"/>
            <w:hideMark/>
          </w:tcPr>
          <w:p w14:paraId="5D6644D8" w14:textId="77777777" w:rsidR="00965D3D" w:rsidRDefault="00965D3D" w:rsidP="00613F05">
            <w:r w:rsidRPr="0073537A">
              <w:t>Pragmatic</w:t>
            </w:r>
          </w:p>
          <w:p w14:paraId="376C0855" w14:textId="77777777" w:rsidR="00965D3D" w:rsidRPr="00F11006" w:rsidRDefault="00965D3D" w:rsidP="00613F05">
            <w:pPr>
              <w:rPr>
                <w:sz w:val="20"/>
                <w:szCs w:val="20"/>
              </w:rPr>
            </w:pPr>
            <w:r w:rsidRPr="00F11006">
              <w:rPr>
                <w:sz w:val="20"/>
                <w:szCs w:val="20"/>
              </w:rPr>
              <w:t>Sum totals for Items 5, 10, 11, 14, and 18 and divide by 5</w:t>
            </w:r>
          </w:p>
        </w:tc>
        <w:tc>
          <w:tcPr>
            <w:tcW w:w="1530" w:type="dxa"/>
            <w:hideMark/>
          </w:tcPr>
          <w:p w14:paraId="46887401" w14:textId="77777777" w:rsidR="00965D3D" w:rsidRPr="0073537A" w:rsidRDefault="00965D3D" w:rsidP="00613F05"/>
        </w:tc>
        <w:tc>
          <w:tcPr>
            <w:tcW w:w="2520" w:type="dxa"/>
            <w:hideMark/>
          </w:tcPr>
          <w:p w14:paraId="7BD71D02" w14:textId="77777777" w:rsidR="00965D3D" w:rsidRPr="0073537A" w:rsidRDefault="00965D3D" w:rsidP="00613F05">
            <w:r>
              <w:t xml:space="preserve">20.1 / </w:t>
            </w:r>
            <w:r w:rsidRPr="0073537A">
              <w:t>5.7</w:t>
            </w:r>
          </w:p>
        </w:tc>
      </w:tr>
      <w:tr w:rsidR="00965D3D" w:rsidRPr="0073537A" w14:paraId="31B63289" w14:textId="77777777" w:rsidTr="00613F05">
        <w:tc>
          <w:tcPr>
            <w:tcW w:w="4855" w:type="dxa"/>
            <w:hideMark/>
          </w:tcPr>
          <w:p w14:paraId="13DEA85A" w14:textId="77777777" w:rsidR="00965D3D" w:rsidRPr="00F11006" w:rsidRDefault="00965D3D" w:rsidP="00613F05">
            <w:r w:rsidRPr="00F11006">
              <w:t>Humanistic</w:t>
            </w:r>
            <w:r w:rsidRPr="00F11006">
              <w:br/>
            </w:r>
            <w:r w:rsidRPr="00F11006">
              <w:rPr>
                <w:sz w:val="20"/>
                <w:szCs w:val="20"/>
              </w:rPr>
              <w:t>Sum totals for Items 3, 7, and 12 and divide by 3</w:t>
            </w:r>
          </w:p>
        </w:tc>
        <w:tc>
          <w:tcPr>
            <w:tcW w:w="1530" w:type="dxa"/>
            <w:hideMark/>
          </w:tcPr>
          <w:p w14:paraId="5FED3CE4" w14:textId="77777777" w:rsidR="00965D3D" w:rsidRPr="0073537A" w:rsidRDefault="00965D3D" w:rsidP="00613F05"/>
        </w:tc>
        <w:tc>
          <w:tcPr>
            <w:tcW w:w="2520" w:type="dxa"/>
            <w:hideMark/>
          </w:tcPr>
          <w:p w14:paraId="2B45D983" w14:textId="77777777" w:rsidR="00965D3D" w:rsidRPr="0073537A" w:rsidRDefault="00965D3D" w:rsidP="00613F05">
            <w:r>
              <w:t xml:space="preserve">10.4 / </w:t>
            </w:r>
            <w:r w:rsidRPr="0073537A">
              <w:t>2.4</w:t>
            </w:r>
          </w:p>
        </w:tc>
      </w:tr>
    </w:tbl>
    <w:p w14:paraId="35BD713C" w14:textId="77777777" w:rsidR="00965D3D" w:rsidRDefault="00965D3D" w:rsidP="00965D3D">
      <w:pPr>
        <w:pStyle w:val="APANon-indent"/>
      </w:pPr>
    </w:p>
    <w:p w14:paraId="3FADDEDE" w14:textId="77777777" w:rsidR="00965D3D" w:rsidRDefault="00965D3D" w:rsidP="00965D3D">
      <w:pPr>
        <w:pStyle w:val="APANon-indent"/>
      </w:pPr>
      <w:r w:rsidRPr="0073537A">
        <w:t xml:space="preserve">INTERPRETING YOUR SCORE: </w:t>
      </w:r>
      <w:r>
        <w:t>T</w:t>
      </w:r>
      <w:r w:rsidRPr="0073537A">
        <w:t xml:space="preserve">he reliability of the scale is adequate to discriminate group differences, but not individual differences. These scores should be used to stimulate reflection, but not as precise measurements of individual theoretical orientation. </w:t>
      </w:r>
    </w:p>
    <w:p w14:paraId="644375C7" w14:textId="2069A77C" w:rsidR="00A818A1" w:rsidRDefault="00965D3D" w:rsidP="00965D3D">
      <w:pPr>
        <w:pStyle w:val="APANon-indent"/>
      </w:pPr>
      <w:r>
        <w:t xml:space="preserve">© </w:t>
      </w:r>
      <w:r w:rsidRPr="00AB3B62">
        <w:t xml:space="preserve">Coleman, D. (2004). Theoretical Evaluation Self-Test (TEST): A preliminary validation study, </w:t>
      </w:r>
      <w:r w:rsidRPr="00CB1E6B">
        <w:rPr>
          <w:i/>
        </w:rPr>
        <w:t>Social Work Research</w:t>
      </w:r>
      <w:r w:rsidRPr="00AB3B62">
        <w:t xml:space="preserve">, </w:t>
      </w:r>
      <w:r w:rsidRPr="00A2750A">
        <w:rPr>
          <w:i/>
        </w:rPr>
        <w:t>28</w:t>
      </w:r>
      <w:r w:rsidRPr="00AB3B62">
        <w:t>(2), 117-127. doi:10.1093/</w:t>
      </w:r>
      <w:proofErr w:type="spellStart"/>
      <w:r w:rsidRPr="00AB3B62">
        <w:t>swr</w:t>
      </w:r>
      <w:proofErr w:type="spellEnd"/>
      <w:r w:rsidRPr="00AB3B62">
        <w:t>/28.2.117</w:t>
      </w:r>
      <w:r>
        <w:t xml:space="preserve">. Reprinted with permission of Oxford University Press. </w:t>
      </w:r>
      <w:bookmarkStart w:id="2" w:name="_GoBack"/>
      <w:bookmarkEnd w:id="2"/>
    </w:p>
    <w:p w14:paraId="43C8C55C" w14:textId="77777777" w:rsidR="00965D3D" w:rsidRDefault="00965D3D" w:rsidP="00965D3D">
      <w:pPr>
        <w:rPr>
          <w:rFonts w:ascii="Times New Roman" w:eastAsiaTheme="majorEastAsia" w:hAnsi="Times New Roman" w:cs="Times New Roman"/>
          <w:b/>
          <w:bCs/>
          <w:iCs/>
        </w:rPr>
      </w:pPr>
    </w:p>
    <w:p w14:paraId="6C2842DE" w14:textId="54EC3FA8" w:rsidR="006D077A" w:rsidRPr="00965D3D" w:rsidRDefault="006D077A">
      <w:pPr>
        <w:rPr>
          <w:rFonts w:ascii="Times New Roman" w:eastAsiaTheme="majorEastAsia" w:hAnsi="Times New Roman" w:cs="Times New Roman"/>
          <w:b/>
          <w:bCs/>
          <w:iCs/>
        </w:rPr>
      </w:pPr>
    </w:p>
    <w:sectPr w:rsidR="006D077A" w:rsidRPr="00965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3D"/>
    <w:rsid w:val="00005D8D"/>
    <w:rsid w:val="000220DF"/>
    <w:rsid w:val="0002396E"/>
    <w:rsid w:val="00063637"/>
    <w:rsid w:val="0007637B"/>
    <w:rsid w:val="000967AB"/>
    <w:rsid w:val="00117D4F"/>
    <w:rsid w:val="00171D43"/>
    <w:rsid w:val="00177E4B"/>
    <w:rsid w:val="00186065"/>
    <w:rsid w:val="001B2BBA"/>
    <w:rsid w:val="001C078B"/>
    <w:rsid w:val="001E3055"/>
    <w:rsid w:val="001E4840"/>
    <w:rsid w:val="002D2525"/>
    <w:rsid w:val="00306074"/>
    <w:rsid w:val="00311C03"/>
    <w:rsid w:val="0032226A"/>
    <w:rsid w:val="003459A0"/>
    <w:rsid w:val="003C749E"/>
    <w:rsid w:val="00485953"/>
    <w:rsid w:val="004A65EB"/>
    <w:rsid w:val="00504618"/>
    <w:rsid w:val="00531D2C"/>
    <w:rsid w:val="005502DD"/>
    <w:rsid w:val="005A1A0E"/>
    <w:rsid w:val="00645748"/>
    <w:rsid w:val="006678B1"/>
    <w:rsid w:val="00671992"/>
    <w:rsid w:val="0067566E"/>
    <w:rsid w:val="006764EE"/>
    <w:rsid w:val="006955CA"/>
    <w:rsid w:val="006D077A"/>
    <w:rsid w:val="006E1271"/>
    <w:rsid w:val="00722261"/>
    <w:rsid w:val="00730665"/>
    <w:rsid w:val="007614DC"/>
    <w:rsid w:val="0079221A"/>
    <w:rsid w:val="007E2C63"/>
    <w:rsid w:val="0080629B"/>
    <w:rsid w:val="00894A64"/>
    <w:rsid w:val="009434DC"/>
    <w:rsid w:val="00965D3D"/>
    <w:rsid w:val="009E4992"/>
    <w:rsid w:val="00A05828"/>
    <w:rsid w:val="00A6179C"/>
    <w:rsid w:val="00A818A1"/>
    <w:rsid w:val="00A971EC"/>
    <w:rsid w:val="00AA6AA1"/>
    <w:rsid w:val="00AE5EAA"/>
    <w:rsid w:val="00B32ECF"/>
    <w:rsid w:val="00B57423"/>
    <w:rsid w:val="00B71408"/>
    <w:rsid w:val="00B9335A"/>
    <w:rsid w:val="00BB10BC"/>
    <w:rsid w:val="00BF3040"/>
    <w:rsid w:val="00C4224E"/>
    <w:rsid w:val="00C56902"/>
    <w:rsid w:val="00C73C27"/>
    <w:rsid w:val="00CD43DD"/>
    <w:rsid w:val="00D51B3C"/>
    <w:rsid w:val="00D66A5D"/>
    <w:rsid w:val="00E46076"/>
    <w:rsid w:val="00E644B8"/>
    <w:rsid w:val="00EC4C7E"/>
    <w:rsid w:val="00EF50E4"/>
    <w:rsid w:val="00F31640"/>
    <w:rsid w:val="00F440E6"/>
    <w:rsid w:val="00F53676"/>
    <w:rsid w:val="00F5435F"/>
    <w:rsid w:val="00F65FD6"/>
    <w:rsid w:val="00F81A4E"/>
    <w:rsid w:val="00F966DF"/>
    <w:rsid w:val="00FD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A84"/>
  <w15:chartTrackingRefBased/>
  <w15:docId w15:val="{666BE01C-1535-9548-8628-4A92F0E9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65D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autoRedefine/>
    <w:uiPriority w:val="9"/>
    <w:semiHidden/>
    <w:unhideWhenUsed/>
    <w:qFormat/>
    <w:rsid w:val="00B5742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5742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65D3D"/>
    <w:rPr>
      <w:rFonts w:asciiTheme="majorHAnsi" w:eastAsiaTheme="majorEastAsia" w:hAnsiTheme="majorHAnsi" w:cstheme="majorBidi"/>
      <w:i/>
      <w:iCs/>
      <w:color w:val="2F5496" w:themeColor="accent1" w:themeShade="BF"/>
    </w:rPr>
  </w:style>
  <w:style w:type="paragraph" w:customStyle="1" w:styleId="APANon-indent">
    <w:name w:val="APA Non-indent"/>
    <w:basedOn w:val="Normal"/>
    <w:link w:val="APANon-indentChar"/>
    <w:qFormat/>
    <w:rsid w:val="00965D3D"/>
    <w:pPr>
      <w:spacing w:after="120" w:line="480" w:lineRule="auto"/>
    </w:pPr>
    <w:rPr>
      <w:rFonts w:ascii="Times New Roman" w:eastAsia="Calibri" w:hAnsi="Times New Roman" w:cs="Times New Roman"/>
    </w:rPr>
  </w:style>
  <w:style w:type="character" w:customStyle="1" w:styleId="APANon-indentChar">
    <w:name w:val="APA Non-indent Char"/>
    <w:basedOn w:val="DefaultParagraphFont"/>
    <w:link w:val="APANon-indent"/>
    <w:rsid w:val="00965D3D"/>
    <w:rPr>
      <w:rFonts w:ascii="Times New Roman" w:eastAsia="Calibri" w:hAnsi="Times New Roman" w:cs="Times New Roman"/>
    </w:rPr>
  </w:style>
  <w:style w:type="table" w:styleId="TableGrid">
    <w:name w:val="Table Grid"/>
    <w:basedOn w:val="TableNormal"/>
    <w:uiPriority w:val="39"/>
    <w:rsid w:val="00965D3D"/>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ParaIndent">
    <w:name w:val="APA Para Indent"/>
    <w:basedOn w:val="Normal"/>
    <w:link w:val="APAParaIndentChar"/>
    <w:qFormat/>
    <w:rsid w:val="00A818A1"/>
    <w:pPr>
      <w:spacing w:after="120" w:line="480" w:lineRule="auto"/>
      <w:ind w:firstLine="720"/>
    </w:pPr>
    <w:rPr>
      <w:rFonts w:ascii="Times New Roman" w:eastAsia="Calibri" w:hAnsi="Times New Roman" w:cs="Times New Roman"/>
    </w:rPr>
  </w:style>
  <w:style w:type="character" w:customStyle="1" w:styleId="APAParaIndentChar">
    <w:name w:val="APA Para Indent Char"/>
    <w:basedOn w:val="DefaultParagraphFont"/>
    <w:link w:val="APAParaIndent"/>
    <w:rsid w:val="00A818A1"/>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Raskin</dc:creator>
  <cp:keywords/>
  <dc:description/>
  <cp:lastModifiedBy>Edward Ball</cp:lastModifiedBy>
  <cp:revision>3</cp:revision>
  <dcterms:created xsi:type="dcterms:W3CDTF">2022-05-27T21:43:00Z</dcterms:created>
  <dcterms:modified xsi:type="dcterms:W3CDTF">2024-04-02T11:13:00Z</dcterms:modified>
</cp:coreProperties>
</file>