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9B72B" w14:textId="34E36A3F" w:rsidR="00FB5F24" w:rsidRPr="003922C5" w:rsidRDefault="00F632D1" w:rsidP="003B4E8E">
      <w:pPr>
        <w:rPr>
          <w:rFonts w:ascii="Book Antiqua" w:hAnsi="Book Antiqua" w:cstheme="minorHAnsi"/>
          <w:color w:val="000000" w:themeColor="text1"/>
          <w:sz w:val="24"/>
          <w:szCs w:val="24"/>
        </w:rPr>
      </w:pPr>
      <w:r>
        <w:rPr>
          <w:rFonts w:ascii="Book Antiqua" w:hAnsi="Book Antiqua" w:cstheme="minorHAnsi"/>
          <w:color w:val="000000" w:themeColor="text1"/>
          <w:sz w:val="24"/>
          <w:szCs w:val="24"/>
        </w:rPr>
        <w:t>IN THE SEOUL CENTRAL DISTRICT COURT</w:t>
      </w:r>
    </w:p>
    <w:p w14:paraId="4727A4E0" w14:textId="5BA827F4" w:rsidR="00FB5F24" w:rsidRPr="003922C5" w:rsidRDefault="00FB5F24" w:rsidP="00FB5F24">
      <w:pPr>
        <w:jc w:val="center"/>
        <w:rPr>
          <w:rFonts w:ascii="Book Antiqua" w:hAnsi="Book Antiqua"/>
          <w:b/>
          <w:bCs/>
          <w:color w:val="000000" w:themeColor="text1"/>
          <w:sz w:val="24"/>
          <w:szCs w:val="24"/>
        </w:rPr>
      </w:pPr>
      <w:r w:rsidRPr="003922C5">
        <w:rPr>
          <w:rFonts w:ascii="Book Antiqua" w:hAnsi="Book Antiqua"/>
          <w:b/>
          <w:bCs/>
          <w:color w:val="000000" w:themeColor="text1"/>
          <w:sz w:val="24"/>
          <w:szCs w:val="24"/>
        </w:rPr>
        <w:t>________________________________________</w:t>
      </w:r>
    </w:p>
    <w:p w14:paraId="76DC86E3" w14:textId="49A0F8C1" w:rsidR="00FB5F24" w:rsidRPr="003922C5" w:rsidRDefault="00C87A32" w:rsidP="00FB5F24">
      <w:pPr>
        <w:jc w:val="center"/>
        <w:rPr>
          <w:rFonts w:ascii="Book Antiqua" w:hAnsi="Book Antiqua"/>
          <w:b/>
          <w:bCs/>
          <w:color w:val="000000" w:themeColor="text1"/>
          <w:sz w:val="24"/>
          <w:szCs w:val="24"/>
        </w:rPr>
      </w:pPr>
      <w:r>
        <w:rPr>
          <w:rFonts w:ascii="Book Antiqua" w:hAnsi="Book Antiqua"/>
          <w:b/>
          <w:bCs/>
          <w:color w:val="000000" w:themeColor="text1"/>
          <w:sz w:val="24"/>
          <w:szCs w:val="24"/>
        </w:rPr>
        <w:t>OPINION IN</w:t>
      </w:r>
      <w:r w:rsidR="00FB5F24" w:rsidRPr="003922C5">
        <w:rPr>
          <w:rFonts w:ascii="Book Antiqua" w:hAnsi="Book Antiqua"/>
          <w:b/>
          <w:bCs/>
          <w:color w:val="000000" w:themeColor="text1"/>
          <w:sz w:val="24"/>
          <w:szCs w:val="24"/>
        </w:rPr>
        <w:t xml:space="preserve"> THE CASE OF </w:t>
      </w:r>
    </w:p>
    <w:p w14:paraId="2D3B78DE" w14:textId="7B5B4114" w:rsidR="00FB5F24" w:rsidRPr="003922C5" w:rsidRDefault="00FB5F24" w:rsidP="00FB5F24">
      <w:pPr>
        <w:jc w:val="center"/>
        <w:rPr>
          <w:rFonts w:ascii="Book Antiqua" w:hAnsi="Book Antiqua"/>
          <w:b/>
          <w:bCs/>
          <w:color w:val="000000" w:themeColor="text1"/>
          <w:sz w:val="24"/>
          <w:szCs w:val="24"/>
        </w:rPr>
      </w:pPr>
      <w:r w:rsidRPr="003922C5">
        <w:rPr>
          <w:rFonts w:ascii="Book Antiqua" w:hAnsi="Book Antiqua"/>
          <w:b/>
          <w:bCs/>
          <w:color w:val="000000" w:themeColor="text1"/>
          <w:sz w:val="24"/>
          <w:szCs w:val="24"/>
        </w:rPr>
        <w:t xml:space="preserve">KWAK YE-NAM ET AL. </w:t>
      </w:r>
    </w:p>
    <w:p w14:paraId="38EBB5F6" w14:textId="77777777" w:rsidR="00FB5F24" w:rsidRPr="003922C5" w:rsidRDefault="00FB5F24" w:rsidP="00FB5F24">
      <w:pPr>
        <w:jc w:val="center"/>
        <w:rPr>
          <w:rFonts w:ascii="Book Antiqua" w:hAnsi="Book Antiqua"/>
          <w:b/>
          <w:bCs/>
          <w:color w:val="000000" w:themeColor="text1"/>
          <w:sz w:val="24"/>
          <w:szCs w:val="24"/>
        </w:rPr>
      </w:pPr>
      <w:r w:rsidRPr="003922C5">
        <w:rPr>
          <w:rFonts w:ascii="Book Antiqua" w:hAnsi="Book Antiqua"/>
          <w:b/>
          <w:bCs/>
          <w:color w:val="000000" w:themeColor="text1"/>
          <w:sz w:val="24"/>
          <w:szCs w:val="24"/>
        </w:rPr>
        <w:t xml:space="preserve">V. </w:t>
      </w:r>
    </w:p>
    <w:p w14:paraId="28F77B60" w14:textId="30444656" w:rsidR="00F632D1" w:rsidRPr="003922C5" w:rsidRDefault="00FB5F24" w:rsidP="00F632D1">
      <w:pPr>
        <w:jc w:val="center"/>
        <w:rPr>
          <w:rFonts w:ascii="Book Antiqua" w:hAnsi="Book Antiqua"/>
          <w:b/>
          <w:bCs/>
          <w:color w:val="000000" w:themeColor="text1"/>
          <w:sz w:val="24"/>
          <w:szCs w:val="24"/>
        </w:rPr>
      </w:pPr>
      <w:r w:rsidRPr="003922C5">
        <w:rPr>
          <w:rFonts w:ascii="Book Antiqua" w:hAnsi="Book Antiqua"/>
          <w:b/>
          <w:bCs/>
          <w:color w:val="000000" w:themeColor="text1"/>
          <w:sz w:val="24"/>
          <w:szCs w:val="24"/>
        </w:rPr>
        <w:t>JAPAN</w:t>
      </w:r>
    </w:p>
    <w:p w14:paraId="67906B6B" w14:textId="77777777" w:rsidR="00AC4BE8" w:rsidRPr="003922C5" w:rsidRDefault="00AC4BE8" w:rsidP="00AC4BE8">
      <w:pPr>
        <w:jc w:val="center"/>
        <w:rPr>
          <w:rFonts w:ascii="Book Antiqua" w:hAnsi="Book Antiqua"/>
          <w:color w:val="000000" w:themeColor="text1"/>
          <w:sz w:val="24"/>
          <w:szCs w:val="24"/>
        </w:rPr>
      </w:pPr>
      <w:r w:rsidRPr="003922C5">
        <w:rPr>
          <w:rFonts w:ascii="Book Antiqua" w:hAnsi="Book Antiqua"/>
          <w:b/>
          <w:bCs/>
          <w:color w:val="000000" w:themeColor="text1"/>
          <w:sz w:val="24"/>
          <w:szCs w:val="24"/>
        </w:rPr>
        <w:t>_____________________________________</w:t>
      </w:r>
    </w:p>
    <w:p w14:paraId="2ABBE383" w14:textId="0513E6F8" w:rsidR="00AC4BE8" w:rsidRPr="003922C5" w:rsidRDefault="00AC4BE8" w:rsidP="00FB5F24">
      <w:pPr>
        <w:jc w:val="center"/>
        <w:rPr>
          <w:rFonts w:ascii="Book Antiqua" w:hAnsi="Book Antiqua"/>
          <w:b/>
          <w:bCs/>
          <w:color w:val="000000" w:themeColor="text1"/>
          <w:sz w:val="24"/>
          <w:szCs w:val="24"/>
        </w:rPr>
      </w:pPr>
    </w:p>
    <w:p w14:paraId="6AA543C4" w14:textId="178B51F8" w:rsidR="00FB5F24" w:rsidRPr="003922C5" w:rsidRDefault="00AC4BE8" w:rsidP="00AC4BE8">
      <w:pPr>
        <w:pStyle w:val="ListParagraph"/>
        <w:numPr>
          <w:ilvl w:val="0"/>
          <w:numId w:val="4"/>
        </w:numPr>
        <w:rPr>
          <w:rFonts w:ascii="Book Antiqua" w:hAnsi="Book Antiqua" w:cstheme="minorHAnsi"/>
          <w:b/>
          <w:bCs/>
          <w:color w:val="000000" w:themeColor="text1"/>
          <w:sz w:val="24"/>
          <w:szCs w:val="24"/>
        </w:rPr>
      </w:pPr>
      <w:r w:rsidRPr="003922C5">
        <w:rPr>
          <w:rFonts w:ascii="Book Antiqua" w:hAnsi="Book Antiqua" w:cstheme="minorHAnsi"/>
          <w:b/>
          <w:bCs/>
          <w:color w:val="000000" w:themeColor="text1"/>
          <w:sz w:val="24"/>
          <w:szCs w:val="24"/>
        </w:rPr>
        <w:t xml:space="preserve">Introduction </w:t>
      </w:r>
    </w:p>
    <w:p w14:paraId="656D0E56" w14:textId="77777777" w:rsidR="00AC4BE8" w:rsidRPr="003922C5" w:rsidRDefault="00AC4BE8" w:rsidP="00AC268F">
      <w:pPr>
        <w:rPr>
          <w:rFonts w:ascii="Book Antiqua" w:hAnsi="Book Antiqua" w:cstheme="minorHAnsi"/>
          <w:color w:val="000000" w:themeColor="text1"/>
          <w:sz w:val="24"/>
          <w:szCs w:val="24"/>
        </w:rPr>
      </w:pPr>
    </w:p>
    <w:p w14:paraId="70973403" w14:textId="0F90E6C4" w:rsidR="008E3392" w:rsidRPr="003922C5" w:rsidRDefault="00FB5F24" w:rsidP="00ED7546">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sidRPr="003922C5">
        <w:rPr>
          <w:rFonts w:ascii="Book Antiqua" w:hAnsi="Book Antiqua" w:cstheme="minorHAnsi"/>
          <w:color w:val="000000" w:themeColor="text1"/>
          <w:sz w:val="24"/>
          <w:szCs w:val="24"/>
        </w:rPr>
        <w:t xml:space="preserve">This </w:t>
      </w:r>
      <w:r w:rsidR="00C87A32">
        <w:rPr>
          <w:rFonts w:ascii="Book Antiqua" w:hAnsi="Book Antiqua" w:cstheme="minorHAnsi"/>
          <w:color w:val="000000" w:themeColor="text1"/>
          <w:sz w:val="24"/>
          <w:szCs w:val="24"/>
        </w:rPr>
        <w:t>opinion</w:t>
      </w:r>
      <w:r w:rsidRPr="003922C5">
        <w:rPr>
          <w:rFonts w:ascii="Book Antiqua" w:hAnsi="Book Antiqua" w:cstheme="minorHAnsi"/>
          <w:color w:val="000000" w:themeColor="text1"/>
          <w:sz w:val="24"/>
          <w:szCs w:val="24"/>
        </w:rPr>
        <w:t xml:space="preserve"> is presented to the </w:t>
      </w:r>
      <w:proofErr w:type="spellStart"/>
      <w:r w:rsidRPr="003922C5">
        <w:rPr>
          <w:rFonts w:ascii="Book Antiqua" w:hAnsi="Book Antiqua" w:cstheme="minorHAnsi"/>
          <w:color w:val="000000" w:themeColor="text1"/>
          <w:sz w:val="24"/>
          <w:szCs w:val="24"/>
        </w:rPr>
        <w:t>Honorable</w:t>
      </w:r>
      <w:proofErr w:type="spellEnd"/>
      <w:r w:rsidRPr="003922C5">
        <w:rPr>
          <w:rFonts w:ascii="Book Antiqua" w:hAnsi="Book Antiqua" w:cstheme="minorHAnsi"/>
          <w:color w:val="000000" w:themeColor="text1"/>
          <w:sz w:val="24"/>
          <w:szCs w:val="24"/>
        </w:rPr>
        <w:t xml:space="preserve"> judges of the Seoul Central District Court in the case concerning </w:t>
      </w:r>
      <w:r w:rsidRPr="003922C5">
        <w:rPr>
          <w:rFonts w:ascii="Book Antiqua" w:hAnsi="Book Antiqua" w:cstheme="minorHAnsi"/>
          <w:i/>
          <w:iCs/>
          <w:color w:val="000000" w:themeColor="text1"/>
          <w:sz w:val="24"/>
          <w:szCs w:val="24"/>
        </w:rPr>
        <w:t>Kwak Ye-Nam et Al v. Japan</w:t>
      </w:r>
      <w:r w:rsidRPr="003922C5">
        <w:rPr>
          <w:rFonts w:ascii="Book Antiqua" w:hAnsi="Book Antiqua" w:cstheme="minorHAnsi"/>
          <w:color w:val="000000" w:themeColor="text1"/>
          <w:sz w:val="24"/>
          <w:szCs w:val="24"/>
        </w:rPr>
        <w:t xml:space="preserve"> (2016 GA-HAP 580239). The brief address</w:t>
      </w:r>
      <w:r w:rsidR="00C862E1" w:rsidRPr="003922C5">
        <w:rPr>
          <w:rFonts w:ascii="Book Antiqua" w:hAnsi="Book Antiqua" w:cstheme="minorHAnsi"/>
          <w:color w:val="000000" w:themeColor="text1"/>
          <w:sz w:val="24"/>
          <w:szCs w:val="24"/>
        </w:rPr>
        <w:t>es</w:t>
      </w:r>
      <w:r w:rsidRPr="003922C5">
        <w:rPr>
          <w:rFonts w:ascii="Book Antiqua" w:hAnsi="Book Antiqua" w:cstheme="minorHAnsi"/>
          <w:color w:val="000000" w:themeColor="text1"/>
          <w:sz w:val="24"/>
          <w:szCs w:val="24"/>
        </w:rPr>
        <w:t xml:space="preserve"> the issues of state immunity and the development of international law in relation to sexual slavery and other gender crimes. We do not comment on Korean case law in relation to these issues which may be applicable but instead focus our </w:t>
      </w:r>
      <w:r w:rsidR="00C87A32">
        <w:rPr>
          <w:rFonts w:ascii="Book Antiqua" w:hAnsi="Book Antiqua" w:cstheme="minorHAnsi"/>
          <w:color w:val="000000" w:themeColor="text1"/>
          <w:sz w:val="24"/>
          <w:szCs w:val="24"/>
        </w:rPr>
        <w:t>observations</w:t>
      </w:r>
      <w:r w:rsidRPr="003922C5">
        <w:rPr>
          <w:rFonts w:ascii="Book Antiqua" w:hAnsi="Book Antiqua" w:cstheme="minorHAnsi"/>
          <w:color w:val="000000" w:themeColor="text1"/>
          <w:sz w:val="24"/>
          <w:szCs w:val="24"/>
        </w:rPr>
        <w:t xml:space="preserve"> on the international legal framework. </w:t>
      </w:r>
    </w:p>
    <w:p w14:paraId="4234297A" w14:textId="77777777" w:rsidR="008E3392" w:rsidRPr="003922C5" w:rsidRDefault="008E3392" w:rsidP="00ED7546">
      <w:pPr>
        <w:pStyle w:val="ListParagraph"/>
        <w:spacing w:line="360" w:lineRule="auto"/>
        <w:jc w:val="both"/>
        <w:rPr>
          <w:rFonts w:ascii="Book Antiqua" w:hAnsi="Book Antiqua" w:cstheme="minorHAnsi"/>
          <w:color w:val="000000" w:themeColor="text1"/>
          <w:sz w:val="24"/>
          <w:szCs w:val="24"/>
        </w:rPr>
      </w:pPr>
    </w:p>
    <w:p w14:paraId="1F2B4D7A" w14:textId="0038D341" w:rsidR="00FB5F24" w:rsidRPr="003922C5" w:rsidRDefault="00FB5F24" w:rsidP="00ED7546">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sidRPr="003922C5">
        <w:rPr>
          <w:rFonts w:ascii="Book Antiqua" w:hAnsi="Book Antiqua" w:cstheme="minorHAnsi"/>
          <w:color w:val="000000" w:themeColor="text1"/>
          <w:sz w:val="24"/>
          <w:szCs w:val="24"/>
        </w:rPr>
        <w:t>Further, we take as accepted that the system of military sexual slavery instituted against the</w:t>
      </w:r>
      <w:r w:rsidR="00D36C07" w:rsidRPr="003922C5">
        <w:rPr>
          <w:rFonts w:ascii="Book Antiqua" w:hAnsi="Book Antiqua" w:cstheme="minorHAnsi"/>
          <w:color w:val="000000" w:themeColor="text1"/>
          <w:sz w:val="24"/>
          <w:szCs w:val="24"/>
        </w:rPr>
        <w:t xml:space="preserve"> so-called</w:t>
      </w:r>
      <w:r w:rsidRPr="003922C5">
        <w:rPr>
          <w:rFonts w:ascii="Book Antiqua" w:hAnsi="Book Antiqua" w:cstheme="minorHAnsi"/>
          <w:color w:val="000000" w:themeColor="text1"/>
          <w:sz w:val="24"/>
          <w:szCs w:val="24"/>
        </w:rPr>
        <w:t xml:space="preserve"> ‘comfort women’ constituted crimes against humanity</w:t>
      </w:r>
      <w:r w:rsidR="00D36C07" w:rsidRPr="003922C5">
        <w:rPr>
          <w:rFonts w:ascii="Book Antiqua" w:hAnsi="Book Antiqua" w:cstheme="minorHAnsi"/>
          <w:color w:val="000000" w:themeColor="text1"/>
          <w:sz w:val="24"/>
          <w:szCs w:val="24"/>
        </w:rPr>
        <w:t xml:space="preserve"> and</w:t>
      </w:r>
      <w:r w:rsidRPr="003922C5">
        <w:rPr>
          <w:rFonts w:ascii="Book Antiqua" w:hAnsi="Book Antiqua" w:cstheme="minorHAnsi"/>
          <w:color w:val="000000" w:themeColor="text1"/>
          <w:sz w:val="24"/>
          <w:szCs w:val="24"/>
        </w:rPr>
        <w:t xml:space="preserve"> violations of human rights law attribut</w:t>
      </w:r>
      <w:r w:rsidR="00D36C07" w:rsidRPr="003922C5">
        <w:rPr>
          <w:rFonts w:ascii="Book Antiqua" w:hAnsi="Book Antiqua" w:cstheme="minorHAnsi"/>
          <w:color w:val="000000" w:themeColor="text1"/>
          <w:sz w:val="24"/>
          <w:szCs w:val="24"/>
        </w:rPr>
        <w:t>able</w:t>
      </w:r>
      <w:r w:rsidRPr="003922C5">
        <w:rPr>
          <w:rFonts w:ascii="Book Antiqua" w:hAnsi="Book Antiqua" w:cstheme="minorHAnsi"/>
          <w:color w:val="000000" w:themeColor="text1"/>
          <w:sz w:val="24"/>
          <w:szCs w:val="24"/>
        </w:rPr>
        <w:t xml:space="preserve"> to the Japanese government and that under general international law and human rights law the survivors have a right to reparations.</w:t>
      </w:r>
      <w:r w:rsidR="000A3D2B">
        <w:rPr>
          <w:rStyle w:val="FootnoteReference"/>
          <w:rFonts w:ascii="Book Antiqua" w:hAnsi="Book Antiqua" w:cstheme="minorHAnsi"/>
          <w:color w:val="000000" w:themeColor="text1"/>
          <w:sz w:val="24"/>
          <w:szCs w:val="24"/>
        </w:rPr>
        <w:footnoteReference w:id="1"/>
      </w:r>
      <w:r w:rsidR="00C862E1" w:rsidRPr="003922C5">
        <w:rPr>
          <w:rFonts w:ascii="Book Antiqua" w:hAnsi="Book Antiqua" w:cstheme="minorHAnsi"/>
          <w:color w:val="000000" w:themeColor="text1"/>
          <w:sz w:val="24"/>
          <w:szCs w:val="24"/>
        </w:rPr>
        <w:t xml:space="preserve"> The ‘comfort stations’ were established by the Government of Japan between 1932 to 1945 and the victims were forced into sexual slavery for members of the Japanese military. </w:t>
      </w:r>
      <w:r w:rsidR="00ED7546" w:rsidRPr="003922C5">
        <w:rPr>
          <w:rFonts w:ascii="Book Antiqua" w:hAnsi="Book Antiqua" w:cstheme="minorHAnsi"/>
          <w:color w:val="000000" w:themeColor="text1"/>
          <w:sz w:val="24"/>
          <w:szCs w:val="24"/>
        </w:rPr>
        <w:t xml:space="preserve">Women were coerced, abduction, and trafficked by the Japanese military. </w:t>
      </w:r>
    </w:p>
    <w:p w14:paraId="78042A5D" w14:textId="77777777" w:rsidR="00FB5F24" w:rsidRPr="003922C5" w:rsidRDefault="00FB5F24" w:rsidP="00ED7546">
      <w:pPr>
        <w:pStyle w:val="ListParagraph"/>
        <w:spacing w:line="360" w:lineRule="auto"/>
        <w:ind w:left="714"/>
        <w:jc w:val="both"/>
        <w:rPr>
          <w:rFonts w:ascii="Book Antiqua" w:hAnsi="Book Antiqua" w:cstheme="minorHAnsi"/>
          <w:color w:val="000000" w:themeColor="text1"/>
          <w:sz w:val="24"/>
          <w:szCs w:val="24"/>
        </w:rPr>
      </w:pPr>
    </w:p>
    <w:p w14:paraId="306EEE5F" w14:textId="5C4E2F0F" w:rsidR="00FB5F24" w:rsidRDefault="00FB5F24" w:rsidP="00ED7546">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sidRPr="003922C5">
        <w:rPr>
          <w:rFonts w:ascii="Book Antiqua" w:hAnsi="Book Antiqua" w:cstheme="minorHAnsi"/>
          <w:color w:val="000000" w:themeColor="text1"/>
          <w:sz w:val="24"/>
          <w:szCs w:val="24"/>
        </w:rPr>
        <w:lastRenderedPageBreak/>
        <w:t xml:space="preserve">The </w:t>
      </w:r>
      <w:r w:rsidR="00C87A32">
        <w:rPr>
          <w:rFonts w:ascii="Book Antiqua" w:hAnsi="Book Antiqua" w:cstheme="minorHAnsi"/>
          <w:color w:val="000000" w:themeColor="text1"/>
          <w:sz w:val="24"/>
          <w:szCs w:val="24"/>
        </w:rPr>
        <w:t>opinion</w:t>
      </w:r>
      <w:r w:rsidRPr="003922C5">
        <w:rPr>
          <w:rFonts w:ascii="Book Antiqua" w:hAnsi="Book Antiqua" w:cstheme="minorHAnsi"/>
          <w:color w:val="000000" w:themeColor="text1"/>
          <w:sz w:val="24"/>
          <w:szCs w:val="24"/>
        </w:rPr>
        <w:t xml:space="preserve"> is submitted </w:t>
      </w:r>
      <w:r w:rsidR="00C87A32">
        <w:rPr>
          <w:rFonts w:ascii="Book Antiqua" w:hAnsi="Book Antiqua" w:cstheme="minorHAnsi"/>
          <w:color w:val="000000" w:themeColor="text1"/>
          <w:sz w:val="24"/>
          <w:szCs w:val="24"/>
        </w:rPr>
        <w:t>by</w:t>
      </w:r>
      <w:r w:rsidRPr="003922C5">
        <w:rPr>
          <w:rFonts w:ascii="Book Antiqua" w:hAnsi="Book Antiqua" w:cstheme="minorHAnsi"/>
          <w:color w:val="000000" w:themeColor="text1"/>
          <w:sz w:val="24"/>
          <w:szCs w:val="24"/>
        </w:rPr>
        <w:t xml:space="preserve"> </w:t>
      </w:r>
      <w:r w:rsidR="008E3392" w:rsidRPr="003922C5">
        <w:rPr>
          <w:rFonts w:ascii="Book Antiqua" w:hAnsi="Book Antiqua" w:cstheme="minorHAnsi"/>
          <w:color w:val="000000" w:themeColor="text1"/>
          <w:sz w:val="24"/>
          <w:szCs w:val="24"/>
        </w:rPr>
        <w:t xml:space="preserve">Professor Christine Chinkin is Emerita Professor of International Law and the founding Director of the Centre for Women, Peace and Security, London School of Economics </w:t>
      </w:r>
      <w:r w:rsidR="00D36C07" w:rsidRPr="003922C5">
        <w:rPr>
          <w:rFonts w:ascii="Book Antiqua" w:hAnsi="Book Antiqua" w:cstheme="minorHAnsi"/>
          <w:color w:val="000000" w:themeColor="text1"/>
          <w:sz w:val="24"/>
          <w:szCs w:val="24"/>
        </w:rPr>
        <w:t xml:space="preserve">and Political Science </w:t>
      </w:r>
      <w:r w:rsidR="008E3392" w:rsidRPr="003922C5">
        <w:rPr>
          <w:rFonts w:ascii="Book Antiqua" w:hAnsi="Book Antiqua" w:cstheme="minorHAnsi"/>
          <w:color w:val="000000" w:themeColor="text1"/>
          <w:sz w:val="24"/>
          <w:szCs w:val="24"/>
        </w:rPr>
        <w:t xml:space="preserve">where she is currently a Professional Research fellow. She is a barrister at Matrix Chambers, London. She is also </w:t>
      </w:r>
      <w:r w:rsidR="002F5220" w:rsidRPr="003922C5">
        <w:rPr>
          <w:rFonts w:ascii="Book Antiqua" w:hAnsi="Book Antiqua" w:cstheme="minorHAnsi"/>
          <w:color w:val="000000" w:themeColor="text1"/>
          <w:sz w:val="24"/>
          <w:szCs w:val="24"/>
        </w:rPr>
        <w:t>a L</w:t>
      </w:r>
      <w:r w:rsidR="00D36C07" w:rsidRPr="003922C5">
        <w:rPr>
          <w:rFonts w:ascii="Book Antiqua" w:hAnsi="Book Antiqua" w:cs="Segoe UI"/>
          <w:color w:val="000000" w:themeColor="text1"/>
          <w:sz w:val="24"/>
          <w:szCs w:val="24"/>
          <w:shd w:val="clear" w:color="auto" w:fill="FFFFFF"/>
        </w:rPr>
        <w:t xml:space="preserve"> Bates Lea </w:t>
      </w:r>
      <w:r w:rsidR="008E3392" w:rsidRPr="003922C5">
        <w:rPr>
          <w:rFonts w:ascii="Book Antiqua" w:hAnsi="Book Antiqua" w:cstheme="minorHAnsi"/>
          <w:color w:val="000000" w:themeColor="text1"/>
          <w:sz w:val="24"/>
          <w:szCs w:val="24"/>
        </w:rPr>
        <w:t xml:space="preserve">Global Law Professor at the University of Michigan Law School. She </w:t>
      </w:r>
      <w:r w:rsidR="00D36C07" w:rsidRPr="003922C5">
        <w:rPr>
          <w:rFonts w:ascii="Book Antiqua" w:hAnsi="Book Antiqua" w:cstheme="minorHAnsi"/>
          <w:color w:val="000000" w:themeColor="text1"/>
          <w:sz w:val="24"/>
          <w:szCs w:val="24"/>
        </w:rPr>
        <w:t xml:space="preserve">has researched and taught for many years and </w:t>
      </w:r>
      <w:r w:rsidR="008E3392" w:rsidRPr="003922C5">
        <w:rPr>
          <w:rFonts w:ascii="Book Antiqua" w:hAnsi="Book Antiqua" w:cstheme="minorHAnsi"/>
          <w:color w:val="000000" w:themeColor="text1"/>
          <w:sz w:val="24"/>
          <w:szCs w:val="24"/>
        </w:rPr>
        <w:t xml:space="preserve">is the author of many publications on international law, international human rights </w:t>
      </w:r>
      <w:r w:rsidR="002F5220" w:rsidRPr="003922C5">
        <w:rPr>
          <w:rFonts w:ascii="Book Antiqua" w:hAnsi="Book Antiqua" w:cstheme="minorHAnsi"/>
          <w:color w:val="000000" w:themeColor="text1"/>
          <w:sz w:val="24"/>
          <w:szCs w:val="24"/>
        </w:rPr>
        <w:t>law, the</w:t>
      </w:r>
      <w:r w:rsidR="008E3392" w:rsidRPr="003922C5">
        <w:rPr>
          <w:rFonts w:ascii="Book Antiqua" w:hAnsi="Book Antiqua" w:cstheme="minorHAnsi"/>
          <w:color w:val="000000" w:themeColor="text1"/>
          <w:sz w:val="24"/>
          <w:szCs w:val="24"/>
        </w:rPr>
        <w:t xml:space="preserve"> UN Convention on the Elimination of All Forms of Discrimination against Women</w:t>
      </w:r>
      <w:r w:rsidR="00D36C07" w:rsidRPr="003922C5">
        <w:rPr>
          <w:rFonts w:ascii="Book Antiqua" w:hAnsi="Book Antiqua" w:cstheme="minorHAnsi"/>
          <w:color w:val="000000" w:themeColor="text1"/>
          <w:sz w:val="24"/>
          <w:szCs w:val="24"/>
        </w:rPr>
        <w:t xml:space="preserve"> and the UN Security Council’s agenda on Women, Peace and Security</w:t>
      </w:r>
      <w:r w:rsidR="008E3392" w:rsidRPr="003922C5">
        <w:rPr>
          <w:rFonts w:ascii="Book Antiqua" w:hAnsi="Book Antiqua" w:cstheme="minorHAnsi"/>
          <w:color w:val="000000" w:themeColor="text1"/>
          <w:sz w:val="24"/>
          <w:szCs w:val="24"/>
        </w:rPr>
        <w:t xml:space="preserve">. </w:t>
      </w:r>
      <w:r w:rsidR="002F5220" w:rsidRPr="003922C5">
        <w:rPr>
          <w:rFonts w:ascii="Book Antiqua" w:hAnsi="Book Antiqua" w:cstheme="minorHAnsi"/>
          <w:color w:val="000000" w:themeColor="text1"/>
          <w:sz w:val="24"/>
          <w:szCs w:val="24"/>
        </w:rPr>
        <w:t>Dr Keina Yoshida</w:t>
      </w:r>
      <w:r w:rsidR="008E3392" w:rsidRPr="003922C5">
        <w:rPr>
          <w:rFonts w:ascii="Book Antiqua" w:hAnsi="Book Antiqua" w:cstheme="minorHAnsi"/>
          <w:color w:val="000000" w:themeColor="text1"/>
          <w:sz w:val="24"/>
          <w:szCs w:val="24"/>
        </w:rPr>
        <w:t xml:space="preserve"> is a barrister at Doughty Street Chambers and a member of Lincoln’s Inn. </w:t>
      </w:r>
      <w:r w:rsidR="00D36C07" w:rsidRPr="003922C5">
        <w:rPr>
          <w:rFonts w:ascii="Book Antiqua" w:hAnsi="Book Antiqua" w:cstheme="minorHAnsi"/>
          <w:color w:val="000000" w:themeColor="text1"/>
          <w:sz w:val="24"/>
          <w:szCs w:val="24"/>
        </w:rPr>
        <w:t xml:space="preserve">She </w:t>
      </w:r>
      <w:r w:rsidR="008E3392" w:rsidRPr="003922C5">
        <w:rPr>
          <w:rFonts w:ascii="Book Antiqua" w:hAnsi="Book Antiqua" w:cstheme="minorHAnsi"/>
          <w:color w:val="000000" w:themeColor="text1"/>
          <w:sz w:val="24"/>
          <w:szCs w:val="24"/>
        </w:rPr>
        <w:t xml:space="preserve">is </w:t>
      </w:r>
      <w:r w:rsidR="00C87A32">
        <w:rPr>
          <w:rFonts w:ascii="Book Antiqua" w:hAnsi="Book Antiqua" w:cstheme="minorHAnsi"/>
          <w:color w:val="000000" w:themeColor="text1"/>
          <w:sz w:val="24"/>
          <w:szCs w:val="24"/>
        </w:rPr>
        <w:t>a</w:t>
      </w:r>
      <w:r w:rsidR="008E3392" w:rsidRPr="003922C5">
        <w:rPr>
          <w:rFonts w:ascii="Book Antiqua" w:hAnsi="Book Antiqua" w:cstheme="minorHAnsi"/>
          <w:color w:val="000000" w:themeColor="text1"/>
          <w:sz w:val="24"/>
          <w:szCs w:val="24"/>
        </w:rPr>
        <w:t xml:space="preserve"> research officer at the Centre for Women, Peace and Security at the London School of Economics</w:t>
      </w:r>
      <w:r w:rsidR="001222D0">
        <w:rPr>
          <w:rFonts w:ascii="Book Antiqua" w:hAnsi="Book Antiqua" w:cstheme="minorHAnsi"/>
          <w:color w:val="000000" w:themeColor="text1"/>
          <w:sz w:val="24"/>
          <w:szCs w:val="24"/>
        </w:rPr>
        <w:t xml:space="preserve"> and Political Science.</w:t>
      </w:r>
    </w:p>
    <w:p w14:paraId="69A99E9F" w14:textId="77777777" w:rsidR="00FE3AE5" w:rsidRPr="00FE3AE5" w:rsidRDefault="00FE3AE5" w:rsidP="00FE3AE5">
      <w:pPr>
        <w:pStyle w:val="ListParagraph"/>
        <w:rPr>
          <w:rFonts w:ascii="Book Antiqua" w:hAnsi="Book Antiqua" w:cstheme="minorHAnsi"/>
          <w:color w:val="000000" w:themeColor="text1"/>
          <w:sz w:val="24"/>
          <w:szCs w:val="24"/>
        </w:rPr>
      </w:pPr>
    </w:p>
    <w:p w14:paraId="27FE810D" w14:textId="72131854" w:rsidR="00FE3AE5" w:rsidRPr="00FE3AE5" w:rsidRDefault="00FE3AE5" w:rsidP="00FE3AE5">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sidRPr="003922C5">
        <w:rPr>
          <w:rFonts w:ascii="Book Antiqua" w:hAnsi="Book Antiqua" w:cstheme="minorHAnsi"/>
          <w:color w:val="000000" w:themeColor="text1"/>
          <w:sz w:val="24"/>
          <w:szCs w:val="24"/>
        </w:rPr>
        <w:t xml:space="preserve">The assertion of state immunity from jurisdiction for consideration of crimes </w:t>
      </w:r>
      <w:r>
        <w:rPr>
          <w:rFonts w:ascii="Book Antiqua" w:hAnsi="Book Antiqua" w:cstheme="minorHAnsi"/>
          <w:color w:val="000000" w:themeColor="text1"/>
          <w:sz w:val="24"/>
          <w:szCs w:val="24"/>
        </w:rPr>
        <w:t xml:space="preserve">such as sexual slavery, rape as torture and trafficking </w:t>
      </w:r>
      <w:r w:rsidRPr="003922C5">
        <w:rPr>
          <w:rFonts w:ascii="Book Antiqua" w:hAnsi="Book Antiqua" w:cstheme="minorHAnsi"/>
          <w:color w:val="000000" w:themeColor="text1"/>
          <w:sz w:val="24"/>
          <w:szCs w:val="24"/>
        </w:rPr>
        <w:t xml:space="preserve">continues impunity and reinforces gender inequality. This cannot be the valid legal position today.  </w:t>
      </w:r>
      <w:r>
        <w:rPr>
          <w:rFonts w:ascii="Book Antiqua" w:hAnsi="Book Antiqua" w:cstheme="minorHAnsi"/>
          <w:color w:val="000000" w:themeColor="text1"/>
          <w:sz w:val="24"/>
          <w:szCs w:val="24"/>
        </w:rPr>
        <w:t xml:space="preserve">It is important to note from the outset that the International Court of Justice has yet to consider a state immunity case in relation to sexual slavery or trafficking. It is also important to note that the doctrine of state immunity in international law is an evolving concept. </w:t>
      </w:r>
      <w:r w:rsidRPr="003922C5">
        <w:rPr>
          <w:rFonts w:ascii="Book Antiqua" w:hAnsi="Book Antiqua" w:cstheme="minorHAnsi"/>
          <w:color w:val="000000" w:themeColor="text1"/>
          <w:sz w:val="24"/>
          <w:szCs w:val="24"/>
        </w:rPr>
        <w:t xml:space="preserve"> </w:t>
      </w:r>
      <w:r>
        <w:rPr>
          <w:rFonts w:ascii="Book Antiqua" w:hAnsi="Book Antiqua" w:cstheme="minorHAnsi"/>
          <w:color w:val="000000" w:themeColor="text1"/>
          <w:sz w:val="24"/>
          <w:szCs w:val="24"/>
        </w:rPr>
        <w:t xml:space="preserve">It is for the national court to apply the doctrine and to consider the precise extent and manner of application. </w:t>
      </w:r>
    </w:p>
    <w:p w14:paraId="1CA9C148" w14:textId="77777777" w:rsidR="00FB5F24" w:rsidRPr="003922C5" w:rsidRDefault="00FB5F24" w:rsidP="00FB5F24">
      <w:pPr>
        <w:pStyle w:val="ListParagraph"/>
        <w:rPr>
          <w:rFonts w:ascii="Book Antiqua" w:hAnsi="Book Antiqua" w:cstheme="minorHAnsi"/>
          <w:color w:val="000000" w:themeColor="text1"/>
          <w:sz w:val="24"/>
          <w:szCs w:val="24"/>
        </w:rPr>
      </w:pPr>
    </w:p>
    <w:p w14:paraId="2E5C0E9F" w14:textId="7BFF33A9" w:rsidR="00FB5F24" w:rsidRPr="003922C5" w:rsidRDefault="00053260" w:rsidP="00FB5F24">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sidRPr="003922C5">
        <w:rPr>
          <w:rFonts w:ascii="Book Antiqua" w:hAnsi="Book Antiqua" w:cstheme="minorHAnsi"/>
          <w:color w:val="000000" w:themeColor="text1"/>
          <w:sz w:val="24"/>
          <w:szCs w:val="24"/>
        </w:rPr>
        <w:t>This</w:t>
      </w:r>
      <w:r w:rsidR="008E3392" w:rsidRPr="003922C5">
        <w:rPr>
          <w:rFonts w:ascii="Book Antiqua" w:hAnsi="Book Antiqua" w:cstheme="minorHAnsi"/>
          <w:color w:val="000000" w:themeColor="text1"/>
          <w:sz w:val="24"/>
          <w:szCs w:val="24"/>
        </w:rPr>
        <w:t xml:space="preserve"> </w:t>
      </w:r>
      <w:r w:rsidR="00C87A32">
        <w:rPr>
          <w:rFonts w:ascii="Book Antiqua" w:hAnsi="Book Antiqua" w:cstheme="minorHAnsi"/>
          <w:color w:val="000000" w:themeColor="text1"/>
          <w:sz w:val="24"/>
          <w:szCs w:val="24"/>
        </w:rPr>
        <w:t>opinion</w:t>
      </w:r>
      <w:r w:rsidR="008E3392" w:rsidRPr="003922C5">
        <w:rPr>
          <w:rFonts w:ascii="Book Antiqua" w:hAnsi="Book Antiqua" w:cstheme="minorHAnsi"/>
          <w:color w:val="000000" w:themeColor="text1"/>
          <w:sz w:val="24"/>
          <w:szCs w:val="24"/>
        </w:rPr>
        <w:t xml:space="preserve"> addresses the following issues</w:t>
      </w:r>
      <w:r w:rsidR="00843884" w:rsidRPr="003922C5">
        <w:rPr>
          <w:rFonts w:ascii="Book Antiqua" w:hAnsi="Book Antiqua" w:cstheme="minorHAnsi"/>
          <w:color w:val="000000" w:themeColor="text1"/>
          <w:sz w:val="24"/>
          <w:szCs w:val="24"/>
        </w:rPr>
        <w:t xml:space="preserve"> in order to assist the court with its determination in this matter: </w:t>
      </w:r>
    </w:p>
    <w:p w14:paraId="4DA8E778" w14:textId="77777777" w:rsidR="008E3392" w:rsidRPr="003922C5" w:rsidRDefault="008E3392" w:rsidP="008E3392">
      <w:pPr>
        <w:pStyle w:val="ListParagraph"/>
        <w:rPr>
          <w:rFonts w:ascii="Book Antiqua" w:hAnsi="Book Antiqua" w:cstheme="minorHAnsi"/>
          <w:color w:val="000000" w:themeColor="text1"/>
          <w:sz w:val="24"/>
          <w:szCs w:val="24"/>
        </w:rPr>
      </w:pPr>
    </w:p>
    <w:p w14:paraId="08F2F221" w14:textId="0FEC6752" w:rsidR="008E3392" w:rsidRPr="003922C5" w:rsidRDefault="00AC4BE8" w:rsidP="008E3392">
      <w:pPr>
        <w:pStyle w:val="ListParagraph"/>
        <w:numPr>
          <w:ilvl w:val="1"/>
          <w:numId w:val="1"/>
        </w:numPr>
        <w:spacing w:line="360" w:lineRule="auto"/>
        <w:jc w:val="both"/>
        <w:rPr>
          <w:rFonts w:ascii="Book Antiqua" w:hAnsi="Book Antiqua" w:cstheme="minorHAnsi"/>
          <w:color w:val="000000" w:themeColor="text1"/>
          <w:sz w:val="24"/>
          <w:szCs w:val="24"/>
        </w:rPr>
      </w:pPr>
      <w:r w:rsidRPr="003922C5">
        <w:rPr>
          <w:rFonts w:ascii="Book Antiqua" w:hAnsi="Book Antiqua" w:cstheme="minorHAnsi"/>
          <w:color w:val="000000" w:themeColor="text1"/>
          <w:sz w:val="24"/>
          <w:szCs w:val="24"/>
        </w:rPr>
        <w:t xml:space="preserve">Gender </w:t>
      </w:r>
      <w:r w:rsidR="00C862E1" w:rsidRPr="003922C5">
        <w:rPr>
          <w:rFonts w:ascii="Book Antiqua" w:hAnsi="Book Antiqua" w:cstheme="minorHAnsi"/>
          <w:color w:val="000000" w:themeColor="text1"/>
          <w:sz w:val="24"/>
          <w:szCs w:val="24"/>
        </w:rPr>
        <w:t>e</w:t>
      </w:r>
      <w:r w:rsidRPr="003922C5">
        <w:rPr>
          <w:rFonts w:ascii="Book Antiqua" w:hAnsi="Book Antiqua" w:cstheme="minorHAnsi"/>
          <w:color w:val="000000" w:themeColor="text1"/>
          <w:sz w:val="24"/>
          <w:szCs w:val="24"/>
        </w:rPr>
        <w:t xml:space="preserve">quality and the </w:t>
      </w:r>
      <w:r w:rsidR="00C862E1" w:rsidRPr="003922C5">
        <w:rPr>
          <w:rFonts w:ascii="Book Antiqua" w:hAnsi="Book Antiqua" w:cstheme="minorHAnsi"/>
          <w:color w:val="000000" w:themeColor="text1"/>
          <w:sz w:val="24"/>
          <w:szCs w:val="24"/>
        </w:rPr>
        <w:t>e</w:t>
      </w:r>
      <w:r w:rsidRPr="003922C5">
        <w:rPr>
          <w:rFonts w:ascii="Book Antiqua" w:hAnsi="Book Antiqua" w:cstheme="minorHAnsi"/>
          <w:color w:val="000000" w:themeColor="text1"/>
          <w:sz w:val="24"/>
          <w:szCs w:val="24"/>
        </w:rPr>
        <w:t xml:space="preserve">volution of </w:t>
      </w:r>
      <w:r w:rsidR="00235BBC" w:rsidRPr="003922C5">
        <w:rPr>
          <w:rFonts w:ascii="Book Antiqua" w:hAnsi="Book Antiqua" w:cstheme="minorHAnsi"/>
          <w:color w:val="000000" w:themeColor="text1"/>
          <w:sz w:val="24"/>
          <w:szCs w:val="24"/>
        </w:rPr>
        <w:t xml:space="preserve">gender crimes in </w:t>
      </w:r>
      <w:r w:rsidRPr="003922C5">
        <w:rPr>
          <w:rFonts w:ascii="Book Antiqua" w:hAnsi="Book Antiqua" w:cstheme="minorHAnsi"/>
          <w:color w:val="000000" w:themeColor="text1"/>
          <w:sz w:val="24"/>
          <w:szCs w:val="24"/>
        </w:rPr>
        <w:t xml:space="preserve">International Law; </w:t>
      </w:r>
    </w:p>
    <w:p w14:paraId="02E8C980" w14:textId="0411159E" w:rsidR="00AC4BE8" w:rsidRPr="003922C5" w:rsidRDefault="00AC4BE8" w:rsidP="008E3392">
      <w:pPr>
        <w:pStyle w:val="ListParagraph"/>
        <w:numPr>
          <w:ilvl w:val="1"/>
          <w:numId w:val="1"/>
        </w:numPr>
        <w:spacing w:line="360" w:lineRule="auto"/>
        <w:jc w:val="both"/>
        <w:rPr>
          <w:rFonts w:ascii="Book Antiqua" w:hAnsi="Book Antiqua" w:cstheme="minorHAnsi"/>
          <w:color w:val="000000" w:themeColor="text1"/>
          <w:sz w:val="24"/>
          <w:szCs w:val="24"/>
        </w:rPr>
      </w:pPr>
      <w:r w:rsidRPr="003922C5">
        <w:rPr>
          <w:rFonts w:ascii="Book Antiqua" w:hAnsi="Book Antiqua" w:cstheme="minorHAnsi"/>
          <w:color w:val="000000" w:themeColor="text1"/>
          <w:sz w:val="24"/>
          <w:szCs w:val="24"/>
        </w:rPr>
        <w:t xml:space="preserve">State Immunity </w:t>
      </w:r>
      <w:r w:rsidR="00CA55D8">
        <w:rPr>
          <w:rFonts w:ascii="Book Antiqua" w:hAnsi="Book Antiqua" w:cstheme="minorHAnsi"/>
          <w:color w:val="000000" w:themeColor="text1"/>
          <w:sz w:val="24"/>
          <w:szCs w:val="24"/>
        </w:rPr>
        <w:t>and sexual slavery: the restrictive doctrine</w:t>
      </w:r>
      <w:r w:rsidRPr="003922C5">
        <w:rPr>
          <w:rFonts w:ascii="Book Antiqua" w:hAnsi="Book Antiqua" w:cstheme="minorHAnsi"/>
          <w:color w:val="000000" w:themeColor="text1"/>
          <w:sz w:val="24"/>
          <w:szCs w:val="24"/>
        </w:rPr>
        <w:t xml:space="preserve"> </w:t>
      </w:r>
    </w:p>
    <w:p w14:paraId="57113741" w14:textId="17CC61BC" w:rsidR="00AC4BE8" w:rsidRPr="003922C5" w:rsidRDefault="00CA55D8" w:rsidP="008E3392">
      <w:pPr>
        <w:pStyle w:val="ListParagraph"/>
        <w:numPr>
          <w:ilvl w:val="1"/>
          <w:numId w:val="1"/>
        </w:numPr>
        <w:spacing w:line="360" w:lineRule="auto"/>
        <w:jc w:val="both"/>
        <w:rPr>
          <w:rFonts w:ascii="Book Antiqua" w:hAnsi="Book Antiqua" w:cstheme="minorHAnsi"/>
          <w:color w:val="000000" w:themeColor="text1"/>
          <w:sz w:val="24"/>
          <w:szCs w:val="24"/>
        </w:rPr>
      </w:pPr>
      <w:r>
        <w:rPr>
          <w:rFonts w:ascii="Book Antiqua" w:hAnsi="Book Antiqua" w:cstheme="minorHAnsi"/>
          <w:color w:val="000000" w:themeColor="text1"/>
          <w:sz w:val="24"/>
          <w:szCs w:val="24"/>
        </w:rPr>
        <w:t>State immunity, human rights and gender crimes</w:t>
      </w:r>
    </w:p>
    <w:p w14:paraId="3F25C58E" w14:textId="77777777" w:rsidR="00AC4BE8" w:rsidRPr="003922C5" w:rsidRDefault="00AC4BE8" w:rsidP="00AC4BE8">
      <w:pPr>
        <w:pStyle w:val="ListParagraph"/>
        <w:spacing w:line="360" w:lineRule="auto"/>
        <w:ind w:left="1440"/>
        <w:jc w:val="both"/>
        <w:rPr>
          <w:rFonts w:ascii="Book Antiqua" w:hAnsi="Book Antiqua" w:cstheme="minorHAnsi"/>
          <w:color w:val="000000" w:themeColor="text1"/>
          <w:sz w:val="24"/>
          <w:szCs w:val="24"/>
        </w:rPr>
      </w:pPr>
    </w:p>
    <w:p w14:paraId="4AFB6FEB" w14:textId="71598EF2" w:rsidR="009537DE" w:rsidRPr="003922C5" w:rsidRDefault="00AC4BE8" w:rsidP="00AC4BE8">
      <w:pPr>
        <w:pStyle w:val="ListParagraph"/>
        <w:numPr>
          <w:ilvl w:val="0"/>
          <w:numId w:val="4"/>
        </w:numPr>
        <w:rPr>
          <w:rFonts w:ascii="Book Antiqua" w:hAnsi="Book Antiqua" w:cstheme="minorHAnsi"/>
          <w:b/>
          <w:bCs/>
          <w:color w:val="000000" w:themeColor="text1"/>
          <w:sz w:val="24"/>
          <w:szCs w:val="24"/>
        </w:rPr>
      </w:pPr>
      <w:r w:rsidRPr="003922C5">
        <w:rPr>
          <w:rFonts w:ascii="Book Antiqua" w:hAnsi="Book Antiqua" w:cstheme="minorHAnsi"/>
          <w:b/>
          <w:bCs/>
          <w:color w:val="000000" w:themeColor="text1"/>
          <w:sz w:val="24"/>
          <w:szCs w:val="24"/>
        </w:rPr>
        <w:t xml:space="preserve">Gender Equality and the Evolution of International Law </w:t>
      </w:r>
      <w:r w:rsidR="00D36C07" w:rsidRPr="003922C5">
        <w:rPr>
          <w:rFonts w:ascii="Book Antiqua" w:hAnsi="Book Antiqua" w:cstheme="minorHAnsi"/>
          <w:b/>
          <w:bCs/>
          <w:color w:val="000000" w:themeColor="text1"/>
          <w:sz w:val="24"/>
          <w:szCs w:val="24"/>
        </w:rPr>
        <w:t>relating to Gender Crimes</w:t>
      </w:r>
    </w:p>
    <w:p w14:paraId="7B537C51" w14:textId="77777777" w:rsidR="00AC4BE8" w:rsidRPr="003922C5" w:rsidRDefault="00AC4BE8" w:rsidP="00AC4BE8">
      <w:pPr>
        <w:pStyle w:val="ListParagraph"/>
        <w:ind w:left="1080"/>
        <w:rPr>
          <w:rFonts w:ascii="Book Antiqua" w:hAnsi="Book Antiqua" w:cstheme="minorHAnsi"/>
          <w:b/>
          <w:bCs/>
          <w:color w:val="000000" w:themeColor="text1"/>
          <w:sz w:val="24"/>
          <w:szCs w:val="24"/>
        </w:rPr>
      </w:pPr>
    </w:p>
    <w:p w14:paraId="228ADCB4" w14:textId="4441B1AB" w:rsidR="00ED7546" w:rsidRPr="003922C5" w:rsidRDefault="00AC4BE8" w:rsidP="00C87A32">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sidRPr="003922C5">
        <w:rPr>
          <w:rFonts w:ascii="Book Antiqua" w:hAnsi="Book Antiqua" w:cstheme="minorHAnsi"/>
          <w:color w:val="000000" w:themeColor="text1"/>
          <w:sz w:val="24"/>
          <w:szCs w:val="24"/>
        </w:rPr>
        <w:t xml:space="preserve">This </w:t>
      </w:r>
      <w:r w:rsidR="00ED7546" w:rsidRPr="003922C5">
        <w:rPr>
          <w:rFonts w:ascii="Book Antiqua" w:hAnsi="Book Antiqua" w:cstheme="minorHAnsi"/>
          <w:color w:val="000000" w:themeColor="text1"/>
          <w:sz w:val="24"/>
          <w:szCs w:val="24"/>
        </w:rPr>
        <w:t>section addresses the</w:t>
      </w:r>
      <w:r w:rsidRPr="003922C5">
        <w:rPr>
          <w:rFonts w:ascii="Book Antiqua" w:hAnsi="Book Antiqua" w:cstheme="minorHAnsi"/>
          <w:color w:val="000000" w:themeColor="text1"/>
          <w:sz w:val="24"/>
          <w:szCs w:val="24"/>
        </w:rPr>
        <w:t xml:space="preserve"> </w:t>
      </w:r>
      <w:r w:rsidR="00B25743" w:rsidRPr="003922C5">
        <w:rPr>
          <w:rFonts w:ascii="Book Antiqua" w:hAnsi="Book Antiqua" w:cstheme="minorHAnsi"/>
          <w:color w:val="000000" w:themeColor="text1"/>
          <w:sz w:val="24"/>
          <w:szCs w:val="24"/>
        </w:rPr>
        <w:t xml:space="preserve">development of international </w:t>
      </w:r>
      <w:r w:rsidR="00D40725" w:rsidRPr="003922C5">
        <w:rPr>
          <w:rFonts w:ascii="Book Antiqua" w:hAnsi="Book Antiqua" w:cstheme="minorHAnsi"/>
          <w:color w:val="000000" w:themeColor="text1"/>
          <w:sz w:val="24"/>
          <w:szCs w:val="24"/>
        </w:rPr>
        <w:t xml:space="preserve">legal </w:t>
      </w:r>
      <w:r w:rsidR="00B25743" w:rsidRPr="003922C5">
        <w:rPr>
          <w:rFonts w:ascii="Book Antiqua" w:hAnsi="Book Antiqua" w:cstheme="minorHAnsi"/>
          <w:color w:val="000000" w:themeColor="text1"/>
          <w:sz w:val="24"/>
          <w:szCs w:val="24"/>
        </w:rPr>
        <w:t>norms relating to gender equality and the criminalisation of gender-based and sexual</w:t>
      </w:r>
      <w:r w:rsidR="00D40725" w:rsidRPr="003922C5">
        <w:rPr>
          <w:rFonts w:ascii="Book Antiqua" w:hAnsi="Book Antiqua" w:cstheme="minorHAnsi"/>
          <w:color w:val="000000" w:themeColor="text1"/>
          <w:sz w:val="24"/>
          <w:szCs w:val="24"/>
        </w:rPr>
        <w:t xml:space="preserve"> </w:t>
      </w:r>
      <w:r w:rsidR="00B25743" w:rsidRPr="003922C5">
        <w:rPr>
          <w:rFonts w:ascii="Book Antiqua" w:hAnsi="Book Antiqua" w:cstheme="minorHAnsi"/>
          <w:color w:val="000000" w:themeColor="text1"/>
          <w:sz w:val="24"/>
          <w:szCs w:val="24"/>
        </w:rPr>
        <w:t>violence</w:t>
      </w:r>
      <w:r w:rsidR="00235BBC" w:rsidRPr="003922C5">
        <w:rPr>
          <w:rFonts w:ascii="Book Antiqua" w:hAnsi="Book Antiqua" w:cstheme="minorHAnsi"/>
          <w:color w:val="000000" w:themeColor="text1"/>
          <w:sz w:val="24"/>
          <w:szCs w:val="24"/>
        </w:rPr>
        <w:t xml:space="preserve"> under international criminal law</w:t>
      </w:r>
      <w:r w:rsidR="00B25743" w:rsidRPr="003922C5">
        <w:rPr>
          <w:rFonts w:ascii="Book Antiqua" w:hAnsi="Book Antiqua" w:cstheme="minorHAnsi"/>
          <w:color w:val="000000" w:themeColor="text1"/>
          <w:sz w:val="24"/>
          <w:szCs w:val="24"/>
        </w:rPr>
        <w:t xml:space="preserve">, including that </w:t>
      </w:r>
      <w:r w:rsidR="00235BBC" w:rsidRPr="003922C5">
        <w:rPr>
          <w:rFonts w:ascii="Book Antiqua" w:hAnsi="Book Antiqua" w:cstheme="minorHAnsi"/>
          <w:color w:val="000000" w:themeColor="text1"/>
          <w:sz w:val="24"/>
          <w:szCs w:val="24"/>
        </w:rPr>
        <w:t xml:space="preserve">committed </w:t>
      </w:r>
      <w:r w:rsidR="00B25743" w:rsidRPr="003922C5">
        <w:rPr>
          <w:rFonts w:ascii="Book Antiqua" w:hAnsi="Book Antiqua" w:cstheme="minorHAnsi"/>
          <w:color w:val="000000" w:themeColor="text1"/>
          <w:sz w:val="24"/>
          <w:szCs w:val="24"/>
        </w:rPr>
        <w:t xml:space="preserve">in armed conflict. </w:t>
      </w:r>
    </w:p>
    <w:p w14:paraId="15885B0E" w14:textId="047B91BE" w:rsidR="00ED7546" w:rsidRPr="003922C5" w:rsidRDefault="00ED7546" w:rsidP="00ED7546">
      <w:pPr>
        <w:spacing w:line="360" w:lineRule="auto"/>
        <w:ind w:firstLine="714"/>
        <w:jc w:val="both"/>
        <w:rPr>
          <w:rFonts w:ascii="Book Antiqua" w:hAnsi="Book Antiqua" w:cstheme="minorHAnsi"/>
          <w:i/>
          <w:iCs/>
          <w:color w:val="000000" w:themeColor="text1"/>
          <w:sz w:val="24"/>
          <w:szCs w:val="24"/>
        </w:rPr>
      </w:pPr>
      <w:r w:rsidRPr="003922C5">
        <w:rPr>
          <w:rFonts w:ascii="Book Antiqua" w:hAnsi="Book Antiqua" w:cstheme="minorHAnsi"/>
          <w:i/>
          <w:iCs/>
          <w:color w:val="000000" w:themeColor="text1"/>
          <w:sz w:val="24"/>
          <w:szCs w:val="24"/>
        </w:rPr>
        <w:t>Principles of Gender Equality in International Law</w:t>
      </w:r>
    </w:p>
    <w:p w14:paraId="24A9BD1E" w14:textId="1EC8EA36" w:rsidR="003922C5" w:rsidRPr="003922C5" w:rsidRDefault="007610BE" w:rsidP="003922C5">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sidRPr="003922C5">
        <w:rPr>
          <w:rFonts w:ascii="Book Antiqua" w:hAnsi="Book Antiqua"/>
          <w:color w:val="000000" w:themeColor="text1"/>
          <w:sz w:val="24"/>
          <w:szCs w:val="24"/>
        </w:rPr>
        <w:t>Equality and non-discrimination are foundational principles of international human rights law and t</w:t>
      </w:r>
      <w:r w:rsidR="004D367D" w:rsidRPr="003922C5">
        <w:rPr>
          <w:rFonts w:ascii="Book Antiqua" w:hAnsi="Book Antiqua"/>
          <w:color w:val="000000" w:themeColor="text1"/>
          <w:sz w:val="24"/>
          <w:szCs w:val="24"/>
        </w:rPr>
        <w:t>here is today a ‘comprehensive international human rights legal framework directed at ensuring the enjoyment by all of all human rights and at eliminating all forms of discrimination against women on the basis of sex and gender.’</w:t>
      </w:r>
      <w:r w:rsidR="004D367D" w:rsidRPr="003922C5">
        <w:rPr>
          <w:rStyle w:val="FootnoteReference"/>
          <w:rFonts w:ascii="Book Antiqua" w:hAnsi="Book Antiqua"/>
          <w:color w:val="000000" w:themeColor="text1"/>
          <w:sz w:val="24"/>
          <w:szCs w:val="24"/>
        </w:rPr>
        <w:footnoteReference w:id="2"/>
      </w:r>
      <w:r w:rsidR="004D367D" w:rsidRPr="003922C5">
        <w:rPr>
          <w:rFonts w:ascii="Book Antiqua" w:hAnsi="Book Antiqua"/>
          <w:color w:val="000000" w:themeColor="text1"/>
          <w:sz w:val="24"/>
          <w:szCs w:val="24"/>
        </w:rPr>
        <w:t xml:space="preserve"> This framework commenced with the </w:t>
      </w:r>
      <w:r w:rsidR="00251FCC" w:rsidRPr="003922C5">
        <w:rPr>
          <w:rFonts w:ascii="Book Antiqua" w:hAnsi="Book Antiqua" w:cs="Calibri"/>
          <w:color w:val="000000" w:themeColor="text1"/>
          <w:sz w:val="24"/>
          <w:szCs w:val="24"/>
        </w:rPr>
        <w:t xml:space="preserve">Charter of the United Nations (UN) </w:t>
      </w:r>
      <w:r w:rsidR="004D367D" w:rsidRPr="003922C5">
        <w:rPr>
          <w:rFonts w:ascii="Book Antiqua" w:hAnsi="Book Antiqua" w:cs="Calibri"/>
          <w:color w:val="000000" w:themeColor="text1"/>
          <w:sz w:val="24"/>
          <w:szCs w:val="24"/>
        </w:rPr>
        <w:t>that in Article 1 (3)</w:t>
      </w:r>
      <w:r w:rsidR="00251FCC" w:rsidRPr="003922C5">
        <w:rPr>
          <w:rFonts w:ascii="Book Antiqua" w:hAnsi="Book Antiqua" w:cs="Calibri"/>
          <w:color w:val="000000" w:themeColor="text1"/>
          <w:sz w:val="24"/>
          <w:szCs w:val="24"/>
        </w:rPr>
        <w:t xml:space="preserve"> includes as a purpose of the UN the promotion and encouragement of respect for human rights and fundamental freedoms for all without distinction based on a range of grounds including sex.  The prohibition was brought directly into human rights law by Article 2 of the Universal Declaration of Human Rights: ‘E</w:t>
      </w:r>
      <w:r w:rsidR="00251FCC" w:rsidRPr="003922C5">
        <w:rPr>
          <w:rFonts w:ascii="Book Antiqua" w:hAnsi="Book Antiqua"/>
          <w:color w:val="000000" w:themeColor="text1"/>
          <w:sz w:val="24"/>
          <w:szCs w:val="24"/>
          <w:shd w:val="clear" w:color="auto" w:fill="FFFFFF"/>
        </w:rPr>
        <w:t xml:space="preserve">veryone is entitled to all the rights and freedoms set forth in this Declaration, without distinction of any kind, such as race, colour, sex …’. </w:t>
      </w:r>
    </w:p>
    <w:p w14:paraId="1CCDE9F1" w14:textId="77777777" w:rsidR="003922C5" w:rsidRPr="003922C5" w:rsidRDefault="003922C5" w:rsidP="003922C5">
      <w:pPr>
        <w:pStyle w:val="ListParagraph"/>
        <w:spacing w:line="360" w:lineRule="auto"/>
        <w:ind w:left="714"/>
        <w:jc w:val="both"/>
        <w:rPr>
          <w:rFonts w:ascii="Book Antiqua" w:hAnsi="Book Antiqua" w:cstheme="minorHAnsi"/>
          <w:color w:val="000000" w:themeColor="text1"/>
          <w:sz w:val="24"/>
          <w:szCs w:val="24"/>
        </w:rPr>
      </w:pPr>
    </w:p>
    <w:p w14:paraId="64ABEEB6" w14:textId="794F1504" w:rsidR="003922C5" w:rsidRPr="003922C5" w:rsidRDefault="00251FCC" w:rsidP="003922C5">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sidRPr="003922C5">
        <w:rPr>
          <w:rFonts w:ascii="Book Antiqua" w:hAnsi="Book Antiqua"/>
          <w:color w:val="000000" w:themeColor="text1"/>
          <w:sz w:val="24"/>
          <w:szCs w:val="24"/>
          <w:shd w:val="clear" w:color="auto" w:fill="FFFFFF"/>
        </w:rPr>
        <w:t>The</w:t>
      </w:r>
      <w:r w:rsidR="00D40725" w:rsidRPr="003922C5">
        <w:rPr>
          <w:rFonts w:ascii="Book Antiqua" w:hAnsi="Book Antiqua"/>
          <w:color w:val="000000" w:themeColor="text1"/>
          <w:sz w:val="24"/>
          <w:szCs w:val="24"/>
          <w:shd w:val="clear" w:color="auto" w:fill="FFFFFF"/>
        </w:rPr>
        <w:t xml:space="preserve"> </w:t>
      </w:r>
      <w:r w:rsidRPr="003922C5">
        <w:rPr>
          <w:rFonts w:ascii="Book Antiqua" w:hAnsi="Book Antiqua"/>
          <w:color w:val="000000" w:themeColor="text1"/>
          <w:sz w:val="24"/>
          <w:szCs w:val="24"/>
          <w:shd w:val="clear" w:color="auto" w:fill="FFFFFF"/>
        </w:rPr>
        <w:t>two UN Covenants of 1966, the International Covenant on Civil and Political Rights</w:t>
      </w:r>
      <w:r w:rsidR="0080791C" w:rsidRPr="003922C5">
        <w:rPr>
          <w:rFonts w:ascii="Book Antiqua" w:hAnsi="Book Antiqua"/>
          <w:color w:val="000000" w:themeColor="text1"/>
          <w:sz w:val="24"/>
          <w:szCs w:val="24"/>
          <w:shd w:val="clear" w:color="auto" w:fill="FFFFFF"/>
        </w:rPr>
        <w:t xml:space="preserve"> (ICCPR) </w:t>
      </w:r>
      <w:r w:rsidRPr="003922C5">
        <w:rPr>
          <w:rFonts w:ascii="Book Antiqua" w:hAnsi="Book Antiqua"/>
          <w:color w:val="000000" w:themeColor="text1"/>
          <w:sz w:val="24"/>
          <w:szCs w:val="24"/>
          <w:shd w:val="clear" w:color="auto" w:fill="FFFFFF"/>
        </w:rPr>
        <w:t>and the International Covenant on Economic, Social and Cultural Rights</w:t>
      </w:r>
      <w:r w:rsidR="00C87A32">
        <w:rPr>
          <w:rFonts w:ascii="Book Antiqua" w:hAnsi="Book Antiqua"/>
          <w:color w:val="000000" w:themeColor="text1"/>
          <w:sz w:val="24"/>
          <w:szCs w:val="24"/>
          <w:shd w:val="clear" w:color="auto" w:fill="FFFFFF"/>
        </w:rPr>
        <w:t xml:space="preserve"> (ICESCR)</w:t>
      </w:r>
      <w:r w:rsidRPr="003922C5">
        <w:rPr>
          <w:rFonts w:ascii="Book Antiqua" w:hAnsi="Book Antiqua"/>
          <w:color w:val="000000" w:themeColor="text1"/>
          <w:sz w:val="24"/>
          <w:szCs w:val="24"/>
          <w:shd w:val="clear" w:color="auto" w:fill="FFFFFF"/>
        </w:rPr>
        <w:t xml:space="preserve"> both contain prohibitions of discrimination on the basis of sex</w:t>
      </w:r>
      <w:r w:rsidR="00936E10" w:rsidRPr="003922C5">
        <w:rPr>
          <w:rFonts w:ascii="Book Antiqua" w:hAnsi="Book Antiqua"/>
          <w:color w:val="000000" w:themeColor="text1"/>
          <w:sz w:val="24"/>
          <w:szCs w:val="24"/>
          <w:shd w:val="clear" w:color="auto" w:fill="FFFFFF"/>
        </w:rPr>
        <w:t xml:space="preserve">. </w:t>
      </w:r>
      <w:r w:rsidR="003922C5">
        <w:rPr>
          <w:rFonts w:ascii="Book Antiqua" w:hAnsi="Book Antiqua"/>
          <w:color w:val="000000" w:themeColor="text1"/>
          <w:sz w:val="24"/>
          <w:szCs w:val="24"/>
          <w:shd w:val="clear" w:color="auto" w:fill="FFFFFF"/>
        </w:rPr>
        <w:t xml:space="preserve"> </w:t>
      </w:r>
      <w:r w:rsidR="00D40725" w:rsidRPr="003922C5">
        <w:rPr>
          <w:rFonts w:ascii="Book Antiqua" w:hAnsi="Book Antiqua"/>
          <w:color w:val="000000" w:themeColor="text1"/>
          <w:sz w:val="24"/>
          <w:szCs w:val="24"/>
          <w:shd w:val="clear" w:color="auto" w:fill="FFFFFF"/>
        </w:rPr>
        <w:t>States are legally bound by treati</w:t>
      </w:r>
      <w:r w:rsidR="001508B2" w:rsidRPr="003922C5">
        <w:rPr>
          <w:rFonts w:ascii="Book Antiqua" w:hAnsi="Book Antiqua"/>
          <w:color w:val="000000" w:themeColor="text1"/>
          <w:sz w:val="24"/>
          <w:szCs w:val="24"/>
          <w:shd w:val="clear" w:color="auto" w:fill="FFFFFF"/>
        </w:rPr>
        <w:t>e</w:t>
      </w:r>
      <w:r w:rsidR="00D40725" w:rsidRPr="003922C5">
        <w:rPr>
          <w:rFonts w:ascii="Book Antiqua" w:hAnsi="Book Antiqua"/>
          <w:color w:val="000000" w:themeColor="text1"/>
          <w:sz w:val="24"/>
          <w:szCs w:val="24"/>
          <w:shd w:val="clear" w:color="auto" w:fill="FFFFFF"/>
        </w:rPr>
        <w:t>s to which they are parties.</w:t>
      </w:r>
      <w:r w:rsidR="00D40725" w:rsidRPr="003922C5">
        <w:rPr>
          <w:rStyle w:val="FootnoteReference"/>
          <w:rFonts w:ascii="Book Antiqua" w:hAnsi="Book Antiqua"/>
          <w:color w:val="000000" w:themeColor="text1"/>
          <w:sz w:val="24"/>
          <w:szCs w:val="24"/>
          <w:shd w:val="clear" w:color="auto" w:fill="FFFFFF"/>
        </w:rPr>
        <w:footnoteReference w:id="3"/>
      </w:r>
      <w:r w:rsidR="00D40725" w:rsidRPr="003922C5">
        <w:rPr>
          <w:rFonts w:ascii="Book Antiqua" w:hAnsi="Book Antiqua"/>
          <w:color w:val="000000" w:themeColor="text1"/>
          <w:sz w:val="24"/>
          <w:szCs w:val="24"/>
          <w:shd w:val="clear" w:color="auto" w:fill="FFFFFF"/>
        </w:rPr>
        <w:t xml:space="preserve"> </w:t>
      </w:r>
      <w:r w:rsidR="00936E10" w:rsidRPr="003922C5">
        <w:rPr>
          <w:rFonts w:ascii="Book Antiqua" w:hAnsi="Book Antiqua"/>
          <w:color w:val="000000" w:themeColor="text1"/>
          <w:sz w:val="24"/>
          <w:szCs w:val="24"/>
          <w:shd w:val="clear" w:color="auto" w:fill="FFFFFF"/>
        </w:rPr>
        <w:t>The Republic of Korea and Japan are parties to both Covenants.</w:t>
      </w:r>
      <w:r w:rsidR="00936E10" w:rsidRPr="003922C5">
        <w:rPr>
          <w:rStyle w:val="FootnoteReference"/>
          <w:rFonts w:ascii="Book Antiqua" w:hAnsi="Book Antiqua"/>
          <w:color w:val="000000" w:themeColor="text1"/>
          <w:sz w:val="24"/>
          <w:szCs w:val="24"/>
          <w:shd w:val="clear" w:color="auto" w:fill="FFFFFF"/>
        </w:rPr>
        <w:footnoteReference w:id="4"/>
      </w:r>
      <w:r w:rsidR="00936E10" w:rsidRPr="003922C5">
        <w:rPr>
          <w:rFonts w:ascii="Book Antiqua" w:hAnsi="Book Antiqua"/>
          <w:color w:val="000000" w:themeColor="text1"/>
          <w:sz w:val="24"/>
          <w:szCs w:val="24"/>
          <w:shd w:val="clear" w:color="auto" w:fill="FFFFFF"/>
        </w:rPr>
        <w:t xml:space="preserve"> </w:t>
      </w:r>
    </w:p>
    <w:p w14:paraId="32F19FD9" w14:textId="77777777" w:rsidR="003922C5" w:rsidRPr="003922C5" w:rsidRDefault="003922C5" w:rsidP="003922C5">
      <w:pPr>
        <w:pStyle w:val="ListParagraph"/>
        <w:rPr>
          <w:rFonts w:ascii="Book Antiqua" w:hAnsi="Book Antiqua" w:cs="Calibri"/>
          <w:color w:val="000000" w:themeColor="text1"/>
          <w:sz w:val="24"/>
          <w:szCs w:val="24"/>
        </w:rPr>
      </w:pPr>
    </w:p>
    <w:p w14:paraId="6FE44CC8" w14:textId="09BE4D66" w:rsidR="005F2C97" w:rsidRPr="003922C5" w:rsidRDefault="00251FCC" w:rsidP="003922C5">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sidRPr="003922C5">
        <w:rPr>
          <w:rFonts w:ascii="Book Antiqua" w:hAnsi="Book Antiqua" w:cs="Calibri"/>
          <w:color w:val="000000" w:themeColor="text1"/>
          <w:sz w:val="24"/>
          <w:szCs w:val="24"/>
        </w:rPr>
        <w:t xml:space="preserve">The prohibition of discrimination on the basis of sex </w:t>
      </w:r>
      <w:r w:rsidR="0080791C" w:rsidRPr="003922C5">
        <w:rPr>
          <w:rFonts w:ascii="Book Antiqua" w:hAnsi="Book Antiqua" w:cs="Calibri"/>
          <w:color w:val="000000" w:themeColor="text1"/>
          <w:sz w:val="24"/>
          <w:szCs w:val="24"/>
        </w:rPr>
        <w:t>is</w:t>
      </w:r>
      <w:r w:rsidRPr="003922C5">
        <w:rPr>
          <w:rFonts w:ascii="Book Antiqua" w:hAnsi="Book Antiqua" w:cs="Calibri"/>
          <w:color w:val="000000" w:themeColor="text1"/>
          <w:sz w:val="24"/>
          <w:szCs w:val="24"/>
        </w:rPr>
        <w:t xml:space="preserve"> reinforced by the Convention on the Elimination of All Forms of Discrimination against Women</w:t>
      </w:r>
      <w:r w:rsidR="00235BBC" w:rsidRPr="003922C5">
        <w:rPr>
          <w:rFonts w:ascii="Book Antiqua" w:hAnsi="Book Antiqua" w:cs="Calibri"/>
          <w:color w:val="000000" w:themeColor="text1"/>
          <w:sz w:val="24"/>
          <w:szCs w:val="24"/>
        </w:rPr>
        <w:t>, 1979 (CEDAW)</w:t>
      </w:r>
      <w:r w:rsidR="0080791C" w:rsidRPr="003922C5">
        <w:rPr>
          <w:rFonts w:ascii="Book Antiqua" w:hAnsi="Book Antiqua" w:cs="Calibri"/>
          <w:color w:val="000000" w:themeColor="text1"/>
          <w:sz w:val="24"/>
          <w:szCs w:val="24"/>
        </w:rPr>
        <w:t xml:space="preserve">. </w:t>
      </w:r>
      <w:r w:rsidR="005F2C97" w:rsidRPr="003922C5">
        <w:rPr>
          <w:rFonts w:ascii="Book Antiqua" w:hAnsi="Book Antiqua"/>
          <w:color w:val="000000" w:themeColor="text1"/>
          <w:sz w:val="24"/>
          <w:szCs w:val="24"/>
        </w:rPr>
        <w:t>Both the Republic of Korea</w:t>
      </w:r>
      <w:r w:rsidR="005F2C97" w:rsidRPr="003922C5">
        <w:rPr>
          <w:rStyle w:val="FootnoteReference"/>
          <w:rFonts w:ascii="Book Antiqua" w:hAnsi="Book Antiqua"/>
          <w:color w:val="000000" w:themeColor="text1"/>
          <w:sz w:val="24"/>
          <w:szCs w:val="24"/>
        </w:rPr>
        <w:footnoteReference w:id="5"/>
      </w:r>
      <w:r w:rsidR="005F2C97" w:rsidRPr="003922C5">
        <w:rPr>
          <w:rFonts w:ascii="Book Antiqua" w:hAnsi="Book Antiqua"/>
          <w:color w:val="000000" w:themeColor="text1"/>
          <w:sz w:val="24"/>
          <w:szCs w:val="24"/>
        </w:rPr>
        <w:t xml:space="preserve"> and Japan</w:t>
      </w:r>
      <w:r w:rsidR="005F2C97" w:rsidRPr="003922C5">
        <w:rPr>
          <w:rStyle w:val="FootnoteReference"/>
          <w:rFonts w:ascii="Book Antiqua" w:hAnsi="Book Antiqua"/>
          <w:color w:val="000000" w:themeColor="text1"/>
          <w:sz w:val="24"/>
          <w:szCs w:val="24"/>
        </w:rPr>
        <w:footnoteReference w:id="6"/>
      </w:r>
      <w:r w:rsidR="005F2C97" w:rsidRPr="003922C5">
        <w:rPr>
          <w:rFonts w:ascii="Book Antiqua" w:hAnsi="Book Antiqua"/>
          <w:color w:val="000000" w:themeColor="text1"/>
          <w:sz w:val="24"/>
          <w:szCs w:val="24"/>
        </w:rPr>
        <w:t xml:space="preserve"> are parties to CEDAW. </w:t>
      </w:r>
    </w:p>
    <w:p w14:paraId="75482F7E" w14:textId="77777777" w:rsidR="005F2C97" w:rsidRPr="003922C5" w:rsidRDefault="005F2C97" w:rsidP="003922C5">
      <w:pPr>
        <w:pStyle w:val="ListParagraph"/>
        <w:rPr>
          <w:rFonts w:ascii="Book Antiqua" w:hAnsi="Book Antiqua" w:cstheme="minorHAnsi"/>
          <w:color w:val="000000" w:themeColor="text1"/>
          <w:sz w:val="24"/>
          <w:szCs w:val="24"/>
        </w:rPr>
      </w:pPr>
    </w:p>
    <w:p w14:paraId="4FF230C5" w14:textId="408EA8A8" w:rsidR="00FC1272" w:rsidRPr="003922C5" w:rsidRDefault="0080791C" w:rsidP="003922C5">
      <w:pPr>
        <w:pStyle w:val="BodyText2"/>
        <w:numPr>
          <w:ilvl w:val="0"/>
          <w:numId w:val="1"/>
        </w:numPr>
        <w:tabs>
          <w:tab w:val="left" w:pos="-720"/>
        </w:tabs>
        <w:suppressAutoHyphens/>
        <w:spacing w:line="360" w:lineRule="auto"/>
        <w:jc w:val="both"/>
        <w:rPr>
          <w:rFonts w:ascii="Book Antiqua" w:hAnsi="Book Antiqua" w:cs="Calibri"/>
          <w:color w:val="000000" w:themeColor="text1"/>
          <w:sz w:val="24"/>
          <w:szCs w:val="24"/>
          <w:lang w:val="en-GB"/>
        </w:rPr>
      </w:pPr>
      <w:r w:rsidRPr="003922C5">
        <w:rPr>
          <w:rFonts w:ascii="Book Antiqua" w:hAnsi="Book Antiqua" w:cs="Calibri"/>
          <w:color w:val="000000" w:themeColor="text1"/>
          <w:sz w:val="24"/>
          <w:szCs w:val="24"/>
        </w:rPr>
        <w:t>Article 2</w:t>
      </w:r>
      <w:r w:rsidR="00251FCC" w:rsidRPr="003922C5">
        <w:rPr>
          <w:rFonts w:ascii="Book Antiqua" w:hAnsi="Book Antiqua" w:cs="Calibri"/>
          <w:color w:val="000000" w:themeColor="text1"/>
          <w:sz w:val="24"/>
          <w:szCs w:val="24"/>
        </w:rPr>
        <w:t xml:space="preserve"> </w:t>
      </w:r>
      <w:r w:rsidR="003922C5">
        <w:rPr>
          <w:rFonts w:ascii="Book Antiqua" w:hAnsi="Book Antiqua" w:cs="Calibri"/>
          <w:color w:val="000000" w:themeColor="text1"/>
          <w:sz w:val="24"/>
          <w:szCs w:val="24"/>
        </w:rPr>
        <w:t xml:space="preserve">of CEDAW </w:t>
      </w:r>
      <w:r w:rsidR="00251FCC" w:rsidRPr="003922C5">
        <w:rPr>
          <w:rFonts w:ascii="Book Antiqua" w:hAnsi="Book Antiqua" w:cs="Calibri"/>
          <w:color w:val="000000" w:themeColor="text1"/>
          <w:sz w:val="24"/>
          <w:szCs w:val="24"/>
        </w:rPr>
        <w:t xml:space="preserve">condemns discrimination against women and </w:t>
      </w:r>
      <w:r w:rsidR="00235BBC" w:rsidRPr="003922C5">
        <w:rPr>
          <w:rFonts w:ascii="Book Antiqua" w:hAnsi="Book Antiqua" w:cs="Calibri"/>
          <w:color w:val="000000" w:themeColor="text1"/>
          <w:sz w:val="24"/>
          <w:szCs w:val="24"/>
        </w:rPr>
        <w:t>commits states parties to</w:t>
      </w:r>
      <w:r w:rsidR="00235BBC" w:rsidRPr="003922C5">
        <w:rPr>
          <w:rFonts w:ascii="Book Antiqua" w:hAnsi="Book Antiqua" w:cs="Calibri"/>
          <w:b/>
          <w:bCs/>
          <w:color w:val="000000" w:themeColor="text1"/>
          <w:sz w:val="24"/>
          <w:szCs w:val="24"/>
        </w:rPr>
        <w:t xml:space="preserve"> </w:t>
      </w:r>
      <w:r w:rsidR="00235BBC" w:rsidRPr="003922C5">
        <w:rPr>
          <w:rFonts w:ascii="Book Antiqua" w:hAnsi="Book Antiqua"/>
          <w:color w:val="000000" w:themeColor="text1"/>
          <w:sz w:val="24"/>
          <w:szCs w:val="24"/>
          <w:shd w:val="clear" w:color="auto" w:fill="FFFFFF"/>
        </w:rPr>
        <w:t>pursue by all appropriate means and without delay a policy of eliminating discrimination against women.</w:t>
      </w:r>
      <w:r w:rsidR="003922C5">
        <w:rPr>
          <w:rFonts w:ascii="Book Antiqua" w:hAnsi="Book Antiqua"/>
          <w:color w:val="000000" w:themeColor="text1"/>
          <w:sz w:val="24"/>
          <w:szCs w:val="24"/>
          <w:shd w:val="clear" w:color="auto" w:fill="FFFFFF"/>
        </w:rPr>
        <w:t>’</w:t>
      </w:r>
      <w:r w:rsidR="00235BBC" w:rsidRPr="003922C5">
        <w:rPr>
          <w:rFonts w:ascii="Book Antiqua" w:hAnsi="Book Antiqua"/>
          <w:color w:val="000000" w:themeColor="text1"/>
          <w:sz w:val="24"/>
          <w:szCs w:val="24"/>
          <w:shd w:val="clear" w:color="auto" w:fill="FFFFFF"/>
        </w:rPr>
        <w:t xml:space="preserve"> </w:t>
      </w:r>
      <w:r w:rsidRPr="003922C5">
        <w:rPr>
          <w:rFonts w:ascii="Book Antiqua" w:hAnsi="Book Antiqua"/>
          <w:color w:val="000000" w:themeColor="text1"/>
          <w:sz w:val="24"/>
          <w:szCs w:val="24"/>
          <w:shd w:val="clear" w:color="auto" w:fill="FFFFFF"/>
        </w:rPr>
        <w:t>CEDAW, Article 1</w:t>
      </w:r>
      <w:r w:rsidR="00235BBC" w:rsidRPr="003922C5">
        <w:rPr>
          <w:rFonts w:ascii="Book Antiqua" w:hAnsi="Book Antiqua"/>
          <w:color w:val="000000" w:themeColor="text1"/>
          <w:sz w:val="24"/>
          <w:szCs w:val="24"/>
          <w:shd w:val="clear" w:color="auto" w:fill="FFFFFF"/>
        </w:rPr>
        <w:t xml:space="preserve"> d</w:t>
      </w:r>
      <w:r w:rsidR="00251FCC" w:rsidRPr="003922C5">
        <w:rPr>
          <w:rFonts w:ascii="Book Antiqua" w:hAnsi="Book Antiqua" w:cs="Calibri"/>
          <w:color w:val="000000" w:themeColor="text1"/>
          <w:spacing w:val="-3"/>
          <w:sz w:val="24"/>
          <w:szCs w:val="24"/>
        </w:rPr>
        <w:t xml:space="preserve">efines discrimination as: </w:t>
      </w:r>
      <w:r w:rsidR="003922C5">
        <w:rPr>
          <w:rFonts w:ascii="Book Antiqua" w:hAnsi="Book Antiqua" w:cs="Calibri"/>
          <w:color w:val="000000" w:themeColor="text1"/>
          <w:spacing w:val="-3"/>
          <w:sz w:val="24"/>
          <w:szCs w:val="24"/>
        </w:rPr>
        <w:t>‘</w:t>
      </w:r>
      <w:r w:rsidR="00251FCC" w:rsidRPr="003922C5">
        <w:rPr>
          <w:rFonts w:ascii="Book Antiqua" w:hAnsi="Book Antiqua" w:cs="Calibri"/>
          <w:color w:val="000000" w:themeColor="text1"/>
          <w:spacing w:val="-3"/>
          <w:sz w:val="24"/>
          <w:szCs w:val="24"/>
        </w:rPr>
        <w:t>any distinction, exclusion or restriction made on the basis of sex which has the effect or purpose of impairing or nullifying the recognition, enjoyment or exercise by women, irrespective of their marital status, on a basis of equality of men and women, of human rights and fundamental freedoms in the political, economic, social, cultural, civil or any other field.</w:t>
      </w:r>
      <w:r w:rsidR="003922C5">
        <w:rPr>
          <w:rFonts w:ascii="Book Antiqua" w:hAnsi="Book Antiqua" w:cs="Calibri"/>
          <w:color w:val="000000" w:themeColor="text1"/>
          <w:spacing w:val="-3"/>
          <w:sz w:val="24"/>
          <w:szCs w:val="24"/>
        </w:rPr>
        <w:t>’</w:t>
      </w:r>
    </w:p>
    <w:p w14:paraId="1945D301" w14:textId="77777777" w:rsidR="00FC1272" w:rsidRPr="003922C5" w:rsidRDefault="00FC1272" w:rsidP="003922C5">
      <w:pPr>
        <w:pStyle w:val="ListParagraph"/>
        <w:rPr>
          <w:rFonts w:ascii="Book Antiqua" w:hAnsi="Book Antiqua" w:cstheme="minorHAnsi"/>
          <w:color w:val="000000" w:themeColor="text1"/>
          <w:sz w:val="24"/>
          <w:szCs w:val="24"/>
        </w:rPr>
      </w:pPr>
    </w:p>
    <w:p w14:paraId="185B070E" w14:textId="083F147B" w:rsidR="00B34773" w:rsidRPr="003922C5" w:rsidRDefault="004D367D" w:rsidP="00C4505E">
      <w:pPr>
        <w:pStyle w:val="BodyText2"/>
        <w:numPr>
          <w:ilvl w:val="0"/>
          <w:numId w:val="1"/>
        </w:numPr>
        <w:tabs>
          <w:tab w:val="left" w:pos="-720"/>
        </w:tabs>
        <w:suppressAutoHyphens/>
        <w:spacing w:line="360" w:lineRule="auto"/>
        <w:jc w:val="both"/>
        <w:rPr>
          <w:rFonts w:ascii="Book Antiqua" w:hAnsi="Book Antiqua" w:cs="Calibri"/>
          <w:color w:val="000000" w:themeColor="text1"/>
          <w:sz w:val="24"/>
          <w:szCs w:val="24"/>
          <w:lang w:val="en-GB"/>
        </w:rPr>
      </w:pPr>
      <w:r w:rsidRPr="003922C5">
        <w:rPr>
          <w:rFonts w:ascii="Book Antiqua" w:hAnsi="Book Antiqua" w:cstheme="minorHAnsi"/>
          <w:color w:val="000000" w:themeColor="text1"/>
          <w:sz w:val="24"/>
          <w:szCs w:val="24"/>
        </w:rPr>
        <w:t>This</w:t>
      </w:r>
      <w:r w:rsidR="005E297F">
        <w:rPr>
          <w:rFonts w:ascii="Book Antiqua" w:hAnsi="Book Antiqua" w:cstheme="minorHAnsi"/>
          <w:color w:val="000000" w:themeColor="text1"/>
          <w:sz w:val="24"/>
          <w:szCs w:val="24"/>
        </w:rPr>
        <w:t xml:space="preserve"> </w:t>
      </w:r>
      <w:r w:rsidR="0080791C" w:rsidRPr="003922C5">
        <w:rPr>
          <w:rFonts w:ascii="Book Antiqua" w:hAnsi="Book Antiqua" w:cstheme="minorHAnsi"/>
          <w:color w:val="000000" w:themeColor="text1"/>
          <w:sz w:val="24"/>
          <w:szCs w:val="24"/>
        </w:rPr>
        <w:t>definition obliges states to eliminate both direct discrimination (</w:t>
      </w:r>
      <w:r w:rsidR="00B34773" w:rsidRPr="003922C5">
        <w:rPr>
          <w:rFonts w:ascii="Book Antiqua" w:hAnsi="Book Antiqua" w:cstheme="minorHAnsi"/>
          <w:color w:val="000000" w:themeColor="text1"/>
          <w:sz w:val="24"/>
          <w:szCs w:val="24"/>
        </w:rPr>
        <w:t>“</w:t>
      </w:r>
      <w:r w:rsidR="0080791C" w:rsidRPr="003922C5">
        <w:rPr>
          <w:rFonts w:ascii="Book Antiqua" w:hAnsi="Book Antiqua" w:cstheme="minorHAnsi"/>
          <w:color w:val="000000" w:themeColor="text1"/>
          <w:sz w:val="24"/>
          <w:szCs w:val="24"/>
        </w:rPr>
        <w:t>purpose</w:t>
      </w:r>
      <w:r w:rsidR="00B34773" w:rsidRPr="003922C5">
        <w:rPr>
          <w:rFonts w:ascii="Book Antiqua" w:hAnsi="Book Antiqua" w:cstheme="minorHAnsi"/>
          <w:color w:val="000000" w:themeColor="text1"/>
          <w:sz w:val="24"/>
          <w:szCs w:val="24"/>
        </w:rPr>
        <w:t>”</w:t>
      </w:r>
      <w:r w:rsidR="00C4505E">
        <w:rPr>
          <w:rFonts w:ascii="Book Antiqua" w:hAnsi="Book Antiqua" w:cstheme="minorHAnsi"/>
          <w:color w:val="000000" w:themeColor="text1"/>
          <w:sz w:val="24"/>
          <w:szCs w:val="24"/>
        </w:rPr>
        <w:t>)</w:t>
      </w:r>
      <w:r w:rsidR="0080791C" w:rsidRPr="003922C5">
        <w:rPr>
          <w:rFonts w:ascii="Book Antiqua" w:hAnsi="Book Antiqua" w:cstheme="minorHAnsi"/>
          <w:color w:val="000000" w:themeColor="text1"/>
          <w:sz w:val="24"/>
          <w:szCs w:val="24"/>
        </w:rPr>
        <w:t xml:space="preserve"> and indirect discrimination (“effect”) so as to ensure </w:t>
      </w:r>
      <w:r w:rsidRPr="003922C5">
        <w:rPr>
          <w:rFonts w:ascii="Book Antiqua" w:hAnsi="Book Antiqua" w:cstheme="minorHAnsi"/>
          <w:color w:val="000000" w:themeColor="text1"/>
          <w:sz w:val="24"/>
          <w:szCs w:val="24"/>
        </w:rPr>
        <w:t xml:space="preserve">both formal </w:t>
      </w:r>
      <w:r w:rsidR="0080791C" w:rsidRPr="003922C5">
        <w:rPr>
          <w:rFonts w:ascii="Book Antiqua" w:hAnsi="Book Antiqua" w:cstheme="minorHAnsi"/>
          <w:color w:val="000000" w:themeColor="text1"/>
          <w:sz w:val="24"/>
          <w:szCs w:val="24"/>
        </w:rPr>
        <w:t>(</w:t>
      </w:r>
      <w:r w:rsidR="0080791C" w:rsidRPr="00C4505E">
        <w:rPr>
          <w:rFonts w:ascii="Book Antiqua" w:hAnsi="Book Antiqua" w:cstheme="minorHAnsi"/>
          <w:i/>
          <w:iCs/>
          <w:color w:val="000000" w:themeColor="text1"/>
          <w:sz w:val="24"/>
          <w:szCs w:val="24"/>
        </w:rPr>
        <w:t>de jure</w:t>
      </w:r>
      <w:r w:rsidR="0080791C" w:rsidRPr="003922C5">
        <w:rPr>
          <w:rFonts w:ascii="Book Antiqua" w:hAnsi="Book Antiqua" w:cstheme="minorHAnsi"/>
          <w:color w:val="000000" w:themeColor="text1"/>
          <w:sz w:val="24"/>
          <w:szCs w:val="24"/>
        </w:rPr>
        <w:t xml:space="preserve">) </w:t>
      </w:r>
      <w:r w:rsidRPr="003922C5">
        <w:rPr>
          <w:rFonts w:ascii="Book Antiqua" w:hAnsi="Book Antiqua" w:cstheme="minorHAnsi"/>
          <w:color w:val="000000" w:themeColor="text1"/>
          <w:sz w:val="24"/>
          <w:szCs w:val="24"/>
        </w:rPr>
        <w:t xml:space="preserve">equality and substantive </w:t>
      </w:r>
      <w:r w:rsidR="0080791C" w:rsidRPr="003922C5">
        <w:rPr>
          <w:rFonts w:ascii="Book Antiqua" w:hAnsi="Book Antiqua" w:cstheme="minorHAnsi"/>
          <w:color w:val="000000" w:themeColor="text1"/>
          <w:sz w:val="24"/>
          <w:szCs w:val="24"/>
        </w:rPr>
        <w:t>(</w:t>
      </w:r>
      <w:r w:rsidR="0080791C" w:rsidRPr="00C4505E">
        <w:rPr>
          <w:rFonts w:ascii="Book Antiqua" w:hAnsi="Book Antiqua" w:cstheme="minorHAnsi"/>
          <w:i/>
          <w:iCs/>
          <w:color w:val="000000" w:themeColor="text1"/>
          <w:sz w:val="24"/>
          <w:szCs w:val="24"/>
        </w:rPr>
        <w:t>de facto</w:t>
      </w:r>
      <w:r w:rsidR="0080791C" w:rsidRPr="003922C5">
        <w:rPr>
          <w:rFonts w:ascii="Book Antiqua" w:hAnsi="Book Antiqua" w:cstheme="minorHAnsi"/>
          <w:color w:val="000000" w:themeColor="text1"/>
          <w:sz w:val="24"/>
          <w:szCs w:val="24"/>
        </w:rPr>
        <w:t xml:space="preserve">) </w:t>
      </w:r>
      <w:r w:rsidRPr="003922C5">
        <w:rPr>
          <w:rFonts w:ascii="Book Antiqua" w:hAnsi="Book Antiqua" w:cstheme="minorHAnsi"/>
          <w:color w:val="000000" w:themeColor="text1"/>
          <w:sz w:val="24"/>
          <w:szCs w:val="24"/>
        </w:rPr>
        <w:t xml:space="preserve">equality. </w:t>
      </w:r>
    </w:p>
    <w:p w14:paraId="772A6E30" w14:textId="77777777" w:rsidR="00B34773" w:rsidRPr="003922C5" w:rsidRDefault="00B34773" w:rsidP="003922C5">
      <w:pPr>
        <w:pStyle w:val="ListParagraph"/>
        <w:rPr>
          <w:rFonts w:ascii="Book Antiqua" w:hAnsi="Book Antiqua" w:cstheme="minorHAnsi"/>
          <w:color w:val="000000" w:themeColor="text1"/>
          <w:sz w:val="24"/>
          <w:szCs w:val="24"/>
        </w:rPr>
      </w:pPr>
    </w:p>
    <w:p w14:paraId="576D3CF4" w14:textId="3586C651" w:rsidR="0080791C" w:rsidRPr="003922C5" w:rsidRDefault="00B34773" w:rsidP="00C4505E">
      <w:pPr>
        <w:pStyle w:val="BodyText2"/>
        <w:numPr>
          <w:ilvl w:val="0"/>
          <w:numId w:val="1"/>
        </w:numPr>
        <w:tabs>
          <w:tab w:val="left" w:pos="-720"/>
        </w:tabs>
        <w:suppressAutoHyphens/>
        <w:spacing w:line="360" w:lineRule="auto"/>
        <w:jc w:val="both"/>
        <w:rPr>
          <w:rFonts w:ascii="Book Antiqua" w:hAnsi="Book Antiqua" w:cs="Calibri"/>
          <w:color w:val="000000" w:themeColor="text1"/>
          <w:sz w:val="24"/>
          <w:szCs w:val="24"/>
          <w:lang w:val="en-GB"/>
        </w:rPr>
      </w:pPr>
      <w:r w:rsidRPr="003922C5">
        <w:rPr>
          <w:rFonts w:ascii="Book Antiqua" w:hAnsi="Book Antiqua" w:cstheme="minorHAnsi"/>
          <w:color w:val="000000" w:themeColor="text1"/>
          <w:sz w:val="24"/>
          <w:szCs w:val="24"/>
        </w:rPr>
        <w:t>The Committee on Elimination of Discrimination against Women (CEDAW Committee) has explained that the Convention also covers gender-based discrimination against women.</w:t>
      </w:r>
      <w:r w:rsidRPr="003922C5">
        <w:rPr>
          <w:rStyle w:val="FootnoteReference"/>
          <w:rFonts w:ascii="Book Antiqua" w:hAnsi="Book Antiqua" w:cstheme="minorHAnsi"/>
          <w:color w:val="000000" w:themeColor="text1"/>
          <w:sz w:val="24"/>
          <w:szCs w:val="24"/>
        </w:rPr>
        <w:footnoteReference w:id="7"/>
      </w:r>
      <w:r w:rsidRPr="003922C5">
        <w:rPr>
          <w:rFonts w:ascii="Book Antiqua" w:hAnsi="Book Antiqua" w:cstheme="minorHAnsi"/>
          <w:color w:val="000000" w:themeColor="text1"/>
          <w:sz w:val="24"/>
          <w:szCs w:val="24"/>
        </w:rPr>
        <w:t xml:space="preserve"> </w:t>
      </w:r>
      <w:r w:rsidR="004D367D" w:rsidRPr="003922C5">
        <w:rPr>
          <w:rFonts w:ascii="Book Antiqua" w:hAnsi="Book Antiqua" w:cstheme="minorHAnsi"/>
          <w:color w:val="000000" w:themeColor="text1"/>
          <w:sz w:val="24"/>
          <w:szCs w:val="24"/>
        </w:rPr>
        <w:t>Th</w:t>
      </w:r>
      <w:r w:rsidRPr="003922C5">
        <w:rPr>
          <w:rFonts w:ascii="Book Antiqua" w:hAnsi="Book Antiqua" w:cstheme="minorHAnsi"/>
          <w:color w:val="000000" w:themeColor="text1"/>
          <w:sz w:val="24"/>
          <w:szCs w:val="24"/>
        </w:rPr>
        <w:t>e</w:t>
      </w:r>
      <w:r w:rsidR="004D367D" w:rsidRPr="003922C5">
        <w:rPr>
          <w:rFonts w:ascii="Book Antiqua" w:hAnsi="Book Antiqua" w:cstheme="minorHAnsi"/>
          <w:color w:val="000000" w:themeColor="text1"/>
          <w:sz w:val="24"/>
          <w:szCs w:val="24"/>
        </w:rPr>
        <w:t xml:space="preserve"> principle of equality between women and men, or gender</w:t>
      </w:r>
      <w:r w:rsidR="00FC1272" w:rsidRPr="003922C5">
        <w:rPr>
          <w:rFonts w:ascii="Book Antiqua" w:hAnsi="Book Antiqua" w:cstheme="minorHAnsi"/>
          <w:color w:val="000000" w:themeColor="text1"/>
          <w:sz w:val="24"/>
          <w:szCs w:val="24"/>
        </w:rPr>
        <w:t xml:space="preserve"> </w:t>
      </w:r>
      <w:r w:rsidR="004D367D" w:rsidRPr="003922C5">
        <w:rPr>
          <w:rFonts w:ascii="Book Antiqua" w:hAnsi="Book Antiqua" w:cstheme="minorHAnsi"/>
          <w:color w:val="000000" w:themeColor="text1"/>
          <w:sz w:val="24"/>
          <w:szCs w:val="24"/>
        </w:rPr>
        <w:t>equality, is reinforced in many other international and regional instruments</w:t>
      </w:r>
      <w:r w:rsidR="00FC1272" w:rsidRPr="003922C5">
        <w:rPr>
          <w:rFonts w:ascii="Book Antiqua" w:hAnsi="Book Antiqua" w:cstheme="minorHAnsi"/>
          <w:color w:val="000000" w:themeColor="text1"/>
          <w:sz w:val="24"/>
          <w:szCs w:val="24"/>
        </w:rPr>
        <w:t>.</w:t>
      </w:r>
      <w:r w:rsidR="00FC1272" w:rsidRPr="003922C5">
        <w:rPr>
          <w:rStyle w:val="FootnoteReference"/>
          <w:rFonts w:ascii="Book Antiqua" w:hAnsi="Book Antiqua" w:cstheme="minorHAnsi"/>
          <w:color w:val="000000" w:themeColor="text1"/>
          <w:sz w:val="24"/>
          <w:szCs w:val="24"/>
        </w:rPr>
        <w:footnoteReference w:id="8"/>
      </w:r>
      <w:r w:rsidR="00FC1272" w:rsidRPr="003922C5">
        <w:rPr>
          <w:rFonts w:ascii="Book Antiqua" w:hAnsi="Book Antiqua" w:cstheme="minorHAnsi"/>
          <w:color w:val="000000" w:themeColor="text1"/>
          <w:sz w:val="24"/>
          <w:szCs w:val="24"/>
        </w:rPr>
        <w:t xml:space="preserve"> </w:t>
      </w:r>
      <w:r w:rsidRPr="003922C5">
        <w:rPr>
          <w:rFonts w:ascii="Book Antiqua" w:hAnsi="Book Antiqua" w:cstheme="minorHAnsi"/>
          <w:color w:val="000000" w:themeColor="text1"/>
          <w:sz w:val="24"/>
          <w:szCs w:val="24"/>
        </w:rPr>
        <w:t xml:space="preserve">It is also widely recognized that </w:t>
      </w:r>
      <w:r w:rsidR="00936E10" w:rsidRPr="003922C5">
        <w:rPr>
          <w:rFonts w:ascii="Book Antiqua" w:hAnsi="Book Antiqua" w:cstheme="minorHAnsi"/>
          <w:color w:val="000000" w:themeColor="text1"/>
          <w:sz w:val="24"/>
          <w:szCs w:val="24"/>
        </w:rPr>
        <w:t xml:space="preserve">gender or sex-based discrimination </w:t>
      </w:r>
      <w:r w:rsidRPr="003922C5">
        <w:rPr>
          <w:rFonts w:ascii="Book Antiqua" w:hAnsi="Book Antiqua" w:cstheme="minorHAnsi"/>
          <w:color w:val="000000" w:themeColor="text1"/>
          <w:sz w:val="24"/>
          <w:szCs w:val="24"/>
        </w:rPr>
        <w:t>intersects with o</w:t>
      </w:r>
      <w:r w:rsidR="00936E10" w:rsidRPr="003922C5">
        <w:rPr>
          <w:rFonts w:ascii="Book Antiqua" w:hAnsi="Book Antiqua" w:cstheme="minorHAnsi"/>
          <w:color w:val="000000" w:themeColor="text1"/>
          <w:sz w:val="24"/>
          <w:szCs w:val="24"/>
        </w:rPr>
        <w:t>ther bases for discrimination such as race, class, ethnicity or disability</w:t>
      </w:r>
      <w:r w:rsidR="00C4505E">
        <w:rPr>
          <w:rFonts w:ascii="Book Antiqua" w:hAnsi="Book Antiqua" w:cstheme="minorHAnsi"/>
          <w:color w:val="000000" w:themeColor="text1"/>
          <w:sz w:val="24"/>
          <w:szCs w:val="24"/>
        </w:rPr>
        <w:t>.</w:t>
      </w:r>
      <w:r w:rsidRPr="003922C5">
        <w:rPr>
          <w:rFonts w:ascii="Book Antiqua" w:hAnsi="Book Antiqua" w:cstheme="minorHAnsi"/>
          <w:color w:val="000000" w:themeColor="text1"/>
          <w:sz w:val="24"/>
          <w:szCs w:val="24"/>
        </w:rPr>
        <w:t xml:space="preserve"> Women may thus experience multiple discriminations, adversely treated because of such factors as their sex, age, race, nationality, ethnicity, economic status. The women in this case, those who were subjected to Japanese military slavery, the so-called “comfort women” were discriminated against</w:t>
      </w:r>
      <w:r w:rsidR="005E297F">
        <w:rPr>
          <w:rFonts w:ascii="Book Antiqua" w:hAnsi="Book Antiqua" w:cstheme="minorHAnsi"/>
          <w:color w:val="000000" w:themeColor="text1"/>
          <w:sz w:val="24"/>
          <w:szCs w:val="24"/>
        </w:rPr>
        <w:t xml:space="preserve"> </w:t>
      </w:r>
      <w:r w:rsidR="005E297F" w:rsidRPr="005E297F">
        <w:rPr>
          <w:rFonts w:ascii="Book Antiqua" w:hAnsi="Book Antiqua" w:cstheme="minorHAnsi"/>
          <w:i/>
          <w:iCs/>
          <w:color w:val="000000" w:themeColor="text1"/>
          <w:sz w:val="24"/>
          <w:szCs w:val="24"/>
        </w:rPr>
        <w:t>inter alia.,</w:t>
      </w:r>
      <w:r w:rsidRPr="003922C5">
        <w:rPr>
          <w:rFonts w:ascii="Book Antiqua" w:hAnsi="Book Antiqua" w:cstheme="minorHAnsi"/>
          <w:color w:val="000000" w:themeColor="text1"/>
          <w:sz w:val="24"/>
          <w:szCs w:val="24"/>
        </w:rPr>
        <w:t xml:space="preserve"> because they were women, were young, were Korean, were subject to colonial rule, were often living in poverty. </w:t>
      </w:r>
    </w:p>
    <w:p w14:paraId="14720306" w14:textId="77777777" w:rsidR="00B34773" w:rsidRPr="003922C5" w:rsidRDefault="00B34773" w:rsidP="003922C5">
      <w:pPr>
        <w:pStyle w:val="ListParagraph"/>
        <w:rPr>
          <w:rFonts w:ascii="Book Antiqua" w:hAnsi="Book Antiqua" w:cs="Calibri"/>
          <w:color w:val="000000" w:themeColor="text1"/>
          <w:sz w:val="24"/>
          <w:szCs w:val="24"/>
        </w:rPr>
      </w:pPr>
    </w:p>
    <w:p w14:paraId="14C83BBA" w14:textId="04B90EE5" w:rsidR="0080791C" w:rsidRPr="003922C5" w:rsidRDefault="0080791C" w:rsidP="00D609E3">
      <w:pPr>
        <w:pStyle w:val="BodyText2"/>
        <w:numPr>
          <w:ilvl w:val="0"/>
          <w:numId w:val="1"/>
        </w:numPr>
        <w:tabs>
          <w:tab w:val="left" w:pos="-720"/>
        </w:tabs>
        <w:suppressAutoHyphens/>
        <w:spacing w:line="360" w:lineRule="auto"/>
        <w:jc w:val="both"/>
        <w:rPr>
          <w:rFonts w:ascii="Book Antiqua" w:hAnsi="Book Antiqua" w:cs="Calibri"/>
          <w:color w:val="000000" w:themeColor="text1"/>
          <w:sz w:val="24"/>
          <w:szCs w:val="24"/>
          <w:lang w:val="en-GB"/>
        </w:rPr>
      </w:pPr>
      <w:r w:rsidRPr="003922C5">
        <w:rPr>
          <w:rFonts w:ascii="Book Antiqua" w:hAnsi="Book Antiqua"/>
          <w:color w:val="000000" w:themeColor="text1"/>
          <w:sz w:val="24"/>
          <w:szCs w:val="24"/>
          <w:shd w:val="clear" w:color="auto" w:fill="FFFFFF"/>
        </w:rPr>
        <w:t xml:space="preserve">Importantly the ICCPR asserts the right to equality before the law. Article 26 states that: ‘All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w:t>
      </w:r>
      <w:proofErr w:type="spellStart"/>
      <w:r w:rsidRPr="003922C5">
        <w:rPr>
          <w:rFonts w:ascii="Book Antiqua" w:hAnsi="Book Antiqua"/>
          <w:color w:val="000000" w:themeColor="text1"/>
          <w:sz w:val="24"/>
          <w:szCs w:val="24"/>
          <w:shd w:val="clear" w:color="auto" w:fill="FFFFFF"/>
        </w:rPr>
        <w:t>colour</w:t>
      </w:r>
      <w:proofErr w:type="spellEnd"/>
      <w:r w:rsidRPr="003922C5">
        <w:rPr>
          <w:rFonts w:ascii="Book Antiqua" w:hAnsi="Book Antiqua"/>
          <w:color w:val="000000" w:themeColor="text1"/>
          <w:sz w:val="24"/>
          <w:szCs w:val="24"/>
          <w:shd w:val="clear" w:color="auto" w:fill="FFFFFF"/>
        </w:rPr>
        <w:t>, sex, language, religion, political or other opinion, national or social origin, property, birth or other status.’</w:t>
      </w:r>
      <w:r w:rsidRPr="003922C5">
        <w:rPr>
          <w:rFonts w:ascii="Book Antiqua" w:hAnsi="Book Antiqua" w:cstheme="minorHAnsi"/>
          <w:color w:val="000000" w:themeColor="text1"/>
          <w:sz w:val="24"/>
          <w:szCs w:val="24"/>
        </w:rPr>
        <w:t xml:space="preserve"> </w:t>
      </w:r>
    </w:p>
    <w:p w14:paraId="60A8154D" w14:textId="77777777" w:rsidR="0080791C" w:rsidRPr="003922C5" w:rsidRDefault="0080791C" w:rsidP="0080791C">
      <w:pPr>
        <w:pStyle w:val="ListParagraph"/>
        <w:rPr>
          <w:rFonts w:ascii="Book Antiqua" w:hAnsi="Book Antiqua" w:cstheme="minorHAnsi"/>
          <w:color w:val="000000" w:themeColor="text1"/>
          <w:sz w:val="24"/>
          <w:szCs w:val="24"/>
        </w:rPr>
      </w:pPr>
    </w:p>
    <w:p w14:paraId="1A5D1E3A" w14:textId="77777777" w:rsidR="0011430B" w:rsidRPr="0011430B" w:rsidRDefault="0080791C" w:rsidP="00D609E3">
      <w:pPr>
        <w:pStyle w:val="BodyText2"/>
        <w:numPr>
          <w:ilvl w:val="0"/>
          <w:numId w:val="1"/>
        </w:numPr>
        <w:tabs>
          <w:tab w:val="left" w:pos="-720"/>
        </w:tabs>
        <w:suppressAutoHyphens/>
        <w:spacing w:line="360" w:lineRule="auto"/>
        <w:jc w:val="both"/>
        <w:rPr>
          <w:rFonts w:ascii="Book Antiqua" w:hAnsi="Book Antiqua" w:cstheme="minorHAnsi"/>
          <w:color w:val="000000" w:themeColor="text1"/>
          <w:sz w:val="24"/>
          <w:szCs w:val="24"/>
        </w:rPr>
      </w:pPr>
      <w:r w:rsidRPr="003922C5">
        <w:rPr>
          <w:rFonts w:ascii="Book Antiqua" w:hAnsi="Book Antiqua" w:cstheme="minorHAnsi"/>
          <w:color w:val="000000" w:themeColor="text1"/>
          <w:sz w:val="24"/>
          <w:szCs w:val="24"/>
        </w:rPr>
        <w:t>The right to equality before the law and equal protection of the law is also asserted in regional human rights instruments for instance the American Convention on Human Rights, 1969, Article 24; the African Charter on Human and Peoples’ Rights, 1981, Article 3; the Charter of Fundamental Rights of the European Union, 2000, Article 20. Equality before the law is a fundamental principle f</w:t>
      </w:r>
      <w:r w:rsidRPr="003922C5">
        <w:rPr>
          <w:rFonts w:ascii="Book Antiqua" w:hAnsi="Book Antiqua" w:cs="Arial"/>
          <w:color w:val="000000" w:themeColor="text1"/>
          <w:sz w:val="24"/>
          <w:szCs w:val="24"/>
          <w:shd w:val="clear" w:color="auto" w:fill="FFFFFF"/>
        </w:rPr>
        <w:t>or the enjoyment of all human rights</w:t>
      </w:r>
      <w:r w:rsidRPr="003922C5">
        <w:rPr>
          <w:rStyle w:val="FootnoteReference"/>
          <w:rFonts w:ascii="Book Antiqua" w:hAnsi="Book Antiqua" w:cs="Arial"/>
          <w:color w:val="000000" w:themeColor="text1"/>
          <w:sz w:val="24"/>
          <w:szCs w:val="24"/>
          <w:shd w:val="clear" w:color="auto" w:fill="FFFFFF"/>
        </w:rPr>
        <w:footnoteReference w:id="9"/>
      </w:r>
      <w:r w:rsidRPr="003922C5">
        <w:rPr>
          <w:rFonts w:ascii="Book Antiqua" w:hAnsi="Book Antiqua" w:cs="Arial"/>
          <w:color w:val="000000" w:themeColor="text1"/>
          <w:sz w:val="24"/>
          <w:szCs w:val="24"/>
          <w:shd w:val="clear" w:color="auto" w:fill="FFFFFF"/>
        </w:rPr>
        <w:t xml:space="preserve"> and the rule of law. </w:t>
      </w:r>
      <w:r w:rsidR="0059387C" w:rsidRPr="003922C5">
        <w:rPr>
          <w:rFonts w:ascii="Book Antiqua" w:hAnsi="Book Antiqua"/>
          <w:color w:val="000000" w:themeColor="text1"/>
          <w:sz w:val="24"/>
          <w:szCs w:val="24"/>
        </w:rPr>
        <w:t xml:space="preserve">The European Court of Human Rights has </w:t>
      </w:r>
      <w:proofErr w:type="spellStart"/>
      <w:r w:rsidR="0059387C" w:rsidRPr="003922C5">
        <w:rPr>
          <w:rFonts w:ascii="Book Antiqua" w:hAnsi="Book Antiqua"/>
          <w:color w:val="000000" w:themeColor="text1"/>
          <w:sz w:val="24"/>
          <w:szCs w:val="24"/>
        </w:rPr>
        <w:t>recognised</w:t>
      </w:r>
      <w:proofErr w:type="spellEnd"/>
      <w:r w:rsidR="0059387C" w:rsidRPr="003922C5">
        <w:rPr>
          <w:rFonts w:ascii="Book Antiqua" w:hAnsi="Book Antiqua"/>
          <w:color w:val="000000" w:themeColor="text1"/>
          <w:sz w:val="24"/>
          <w:szCs w:val="24"/>
        </w:rPr>
        <w:t xml:space="preserve"> violence against women as discrimination against women and failure to protect against such violence as a breach of women’s right to equal protection of the law.</w:t>
      </w:r>
      <w:r w:rsidR="0059387C" w:rsidRPr="003922C5">
        <w:rPr>
          <w:rStyle w:val="FootnoteReference"/>
          <w:rFonts w:ascii="Book Antiqua" w:hAnsi="Book Antiqua"/>
          <w:color w:val="000000" w:themeColor="text1"/>
          <w:sz w:val="24"/>
          <w:szCs w:val="24"/>
        </w:rPr>
        <w:footnoteReference w:id="10"/>
      </w:r>
      <w:r w:rsidR="00237A90" w:rsidRPr="003922C5">
        <w:rPr>
          <w:rFonts w:ascii="Book Antiqua" w:hAnsi="Book Antiqua"/>
          <w:color w:val="000000" w:themeColor="text1"/>
          <w:sz w:val="24"/>
          <w:szCs w:val="24"/>
        </w:rPr>
        <w:t xml:space="preserve"> The Inter-American Commission has summarized that</w:t>
      </w:r>
      <w:r w:rsidR="0011430B">
        <w:rPr>
          <w:rFonts w:ascii="Book Antiqua" w:hAnsi="Book Antiqua"/>
          <w:color w:val="000000" w:themeColor="text1"/>
          <w:sz w:val="24"/>
          <w:szCs w:val="24"/>
        </w:rPr>
        <w:t>:</w:t>
      </w:r>
    </w:p>
    <w:p w14:paraId="015D5557" w14:textId="77777777" w:rsidR="0011430B" w:rsidRDefault="0011430B" w:rsidP="0011430B">
      <w:pPr>
        <w:pStyle w:val="ListParagraph"/>
        <w:rPr>
          <w:rFonts w:ascii="Book Antiqua" w:hAnsi="Book Antiqua"/>
          <w:color w:val="000000" w:themeColor="text1"/>
          <w:sz w:val="24"/>
          <w:szCs w:val="24"/>
        </w:rPr>
      </w:pPr>
    </w:p>
    <w:p w14:paraId="578092FF" w14:textId="2A2D010E" w:rsidR="003251A8" w:rsidRPr="003922C5" w:rsidRDefault="00237A90" w:rsidP="0011430B">
      <w:pPr>
        <w:pStyle w:val="BodyText2"/>
        <w:tabs>
          <w:tab w:val="left" w:pos="-720"/>
        </w:tabs>
        <w:suppressAutoHyphens/>
        <w:spacing w:line="360" w:lineRule="auto"/>
        <w:ind w:left="1440"/>
        <w:jc w:val="both"/>
        <w:rPr>
          <w:rFonts w:ascii="Book Antiqua" w:hAnsi="Book Antiqua" w:cstheme="minorHAnsi"/>
          <w:color w:val="000000" w:themeColor="text1"/>
          <w:sz w:val="24"/>
          <w:szCs w:val="24"/>
        </w:rPr>
      </w:pPr>
      <w:r w:rsidRPr="003922C5">
        <w:rPr>
          <w:rFonts w:ascii="Book Antiqua" w:hAnsi="Book Antiqua"/>
          <w:color w:val="000000" w:themeColor="text1"/>
          <w:sz w:val="24"/>
          <w:szCs w:val="24"/>
        </w:rPr>
        <w:t xml:space="preserve"> </w:t>
      </w:r>
      <w:r w:rsidR="00D609E3">
        <w:rPr>
          <w:rFonts w:ascii="Book Antiqua" w:hAnsi="Book Antiqua"/>
          <w:color w:val="000000" w:themeColor="text1"/>
          <w:sz w:val="24"/>
          <w:szCs w:val="24"/>
        </w:rPr>
        <w:t>‘</w:t>
      </w:r>
      <w:r w:rsidRPr="003922C5">
        <w:rPr>
          <w:rFonts w:ascii="Book Antiqua" w:hAnsi="Book Antiqua"/>
          <w:color w:val="000000" w:themeColor="text1"/>
          <w:sz w:val="24"/>
          <w:szCs w:val="24"/>
        </w:rPr>
        <w:t>Specifically on cases of violence and rape, the bodies of the Inter-American system have approached form a comprehensive understanding of the severe effect such acts have on victims of this type of violence, especially women, in the sense that a variety of substantial rights are violated to their detriment</w:t>
      </w:r>
      <w:r w:rsidR="00D609E3">
        <w:rPr>
          <w:rFonts w:ascii="Book Antiqua" w:hAnsi="Book Antiqua"/>
          <w:color w:val="000000" w:themeColor="text1"/>
          <w:sz w:val="24"/>
          <w:szCs w:val="24"/>
        </w:rPr>
        <w:t>.</w:t>
      </w:r>
      <w:r w:rsidRPr="003922C5">
        <w:rPr>
          <w:rFonts w:ascii="Book Antiqua" w:hAnsi="Book Antiqua"/>
          <w:color w:val="000000" w:themeColor="text1"/>
          <w:sz w:val="24"/>
          <w:szCs w:val="24"/>
        </w:rPr>
        <w:t xml:space="preserve"> Thus, both the Commission and the Inter-American Court have found that sexual violence, including rape, represents a violation of the rights to humane treatment, privacy, autonomy and dignity, and equal protection and non</w:t>
      </w:r>
      <w:r w:rsidR="00D609E3">
        <w:rPr>
          <w:rFonts w:ascii="Book Antiqua" w:hAnsi="Book Antiqua"/>
          <w:color w:val="000000" w:themeColor="text1"/>
          <w:sz w:val="24"/>
          <w:szCs w:val="24"/>
        </w:rPr>
        <w:t>-</w:t>
      </w:r>
      <w:r w:rsidRPr="003922C5">
        <w:rPr>
          <w:rFonts w:ascii="Book Antiqua" w:hAnsi="Book Antiqua"/>
          <w:color w:val="000000" w:themeColor="text1"/>
          <w:sz w:val="24"/>
          <w:szCs w:val="24"/>
        </w:rPr>
        <w:t>discrimination.’</w:t>
      </w:r>
      <w:r w:rsidRPr="003922C5">
        <w:rPr>
          <w:rStyle w:val="FootnoteReference"/>
          <w:rFonts w:ascii="Book Antiqua" w:hAnsi="Book Antiqua"/>
          <w:color w:val="000000" w:themeColor="text1"/>
          <w:sz w:val="24"/>
          <w:szCs w:val="24"/>
        </w:rPr>
        <w:footnoteReference w:id="11"/>
      </w:r>
    </w:p>
    <w:p w14:paraId="639C7DEF" w14:textId="77777777" w:rsidR="00237A90" w:rsidRPr="003922C5" w:rsidRDefault="00237A90" w:rsidP="003922C5">
      <w:pPr>
        <w:pStyle w:val="BodyText2"/>
        <w:tabs>
          <w:tab w:val="left" w:pos="-720"/>
        </w:tabs>
        <w:suppressAutoHyphens/>
        <w:spacing w:line="360" w:lineRule="auto"/>
        <w:ind w:left="720"/>
        <w:rPr>
          <w:rFonts w:ascii="Book Antiqua" w:hAnsi="Book Antiqua" w:cstheme="minorHAnsi"/>
          <w:color w:val="000000" w:themeColor="text1"/>
          <w:sz w:val="24"/>
          <w:szCs w:val="24"/>
        </w:rPr>
      </w:pPr>
    </w:p>
    <w:p w14:paraId="475376D6" w14:textId="1B8E3926" w:rsidR="00457E40" w:rsidRPr="00457E40" w:rsidRDefault="00D609E3" w:rsidP="00D609E3">
      <w:pPr>
        <w:pStyle w:val="BodyText2"/>
        <w:numPr>
          <w:ilvl w:val="0"/>
          <w:numId w:val="1"/>
        </w:numPr>
        <w:tabs>
          <w:tab w:val="left" w:pos="-720"/>
        </w:tabs>
        <w:suppressAutoHyphens/>
        <w:spacing w:line="360" w:lineRule="auto"/>
        <w:jc w:val="both"/>
        <w:rPr>
          <w:rFonts w:ascii="Book Antiqua" w:hAnsi="Book Antiqua" w:cs="Calibri"/>
          <w:color w:val="000000" w:themeColor="text1"/>
          <w:sz w:val="24"/>
          <w:szCs w:val="24"/>
          <w:lang w:val="en-GB"/>
        </w:rPr>
      </w:pPr>
      <w:r>
        <w:rPr>
          <w:rFonts w:ascii="Book Antiqua" w:hAnsi="Book Antiqua" w:cs="Arial"/>
          <w:color w:val="000000" w:themeColor="text1"/>
          <w:sz w:val="24"/>
          <w:szCs w:val="24"/>
          <w:shd w:val="clear" w:color="auto" w:fill="FFFFFF"/>
        </w:rPr>
        <w:t>T</w:t>
      </w:r>
      <w:r w:rsidR="003251A8" w:rsidRPr="003922C5">
        <w:rPr>
          <w:rFonts w:ascii="Book Antiqua" w:hAnsi="Book Antiqua" w:cs="Arial"/>
          <w:color w:val="000000" w:themeColor="text1"/>
          <w:sz w:val="24"/>
          <w:szCs w:val="24"/>
          <w:shd w:val="clear" w:color="auto" w:fill="FFFFFF"/>
        </w:rPr>
        <w:t xml:space="preserve">he </w:t>
      </w:r>
      <w:r w:rsidR="00053260" w:rsidRPr="003922C5">
        <w:rPr>
          <w:rFonts w:ascii="Book Antiqua" w:hAnsi="Book Antiqua" w:cs="Arial"/>
          <w:color w:val="000000" w:themeColor="text1"/>
          <w:sz w:val="24"/>
          <w:szCs w:val="24"/>
          <w:shd w:val="clear" w:color="auto" w:fill="FFFFFF"/>
        </w:rPr>
        <w:t>prohibition of discrimination is a principle of customary law binding upon all states. Indeed</w:t>
      </w:r>
      <w:r w:rsidR="0011430B">
        <w:rPr>
          <w:rFonts w:ascii="Book Antiqua" w:hAnsi="Book Antiqua" w:cs="Arial"/>
          <w:color w:val="000000" w:themeColor="text1"/>
          <w:sz w:val="24"/>
          <w:szCs w:val="24"/>
          <w:shd w:val="clear" w:color="auto" w:fill="FFFFFF"/>
        </w:rPr>
        <w:t>,</w:t>
      </w:r>
      <w:r w:rsidR="00053260" w:rsidRPr="003922C5">
        <w:rPr>
          <w:rFonts w:ascii="Book Antiqua" w:hAnsi="Book Antiqua" w:cs="Arial"/>
          <w:color w:val="000000" w:themeColor="text1"/>
          <w:sz w:val="24"/>
          <w:szCs w:val="24"/>
          <w:shd w:val="clear" w:color="auto" w:fill="FFFFFF"/>
        </w:rPr>
        <w:t xml:space="preserve"> the </w:t>
      </w:r>
      <w:r w:rsidR="003251A8" w:rsidRPr="003922C5">
        <w:rPr>
          <w:rFonts w:ascii="Book Antiqua" w:hAnsi="Book Antiqua" w:cs="Arial"/>
          <w:color w:val="000000" w:themeColor="text1"/>
          <w:sz w:val="24"/>
          <w:szCs w:val="24"/>
          <w:shd w:val="clear" w:color="auto" w:fill="FFFFFF"/>
        </w:rPr>
        <w:t>Inter-American Court has held that it</w:t>
      </w:r>
      <w:r w:rsidR="00457E40">
        <w:rPr>
          <w:rFonts w:ascii="Book Antiqua" w:hAnsi="Book Antiqua" w:cs="Arial"/>
          <w:color w:val="000000" w:themeColor="text1"/>
          <w:sz w:val="24"/>
          <w:szCs w:val="24"/>
          <w:shd w:val="clear" w:color="auto" w:fill="FFFFFF"/>
        </w:rPr>
        <w:t>:</w:t>
      </w:r>
    </w:p>
    <w:p w14:paraId="6802D1D2" w14:textId="77777777" w:rsidR="00457E40" w:rsidRDefault="00457E40" w:rsidP="00457E40">
      <w:pPr>
        <w:pStyle w:val="ListParagraph"/>
        <w:rPr>
          <w:rFonts w:ascii="Book Antiqua" w:hAnsi="Book Antiqua" w:cs="Arial"/>
          <w:color w:val="000000" w:themeColor="text1"/>
          <w:sz w:val="24"/>
          <w:szCs w:val="24"/>
          <w:shd w:val="clear" w:color="auto" w:fill="FFFFFF"/>
        </w:rPr>
      </w:pPr>
    </w:p>
    <w:p w14:paraId="479B341E" w14:textId="52AF6B5C" w:rsidR="00D609E3" w:rsidRPr="00D609E3" w:rsidRDefault="003251A8" w:rsidP="00457E40">
      <w:pPr>
        <w:pStyle w:val="BodyText2"/>
        <w:tabs>
          <w:tab w:val="left" w:pos="-720"/>
        </w:tabs>
        <w:suppressAutoHyphens/>
        <w:spacing w:line="360" w:lineRule="auto"/>
        <w:ind w:left="1440"/>
        <w:jc w:val="both"/>
        <w:rPr>
          <w:rFonts w:ascii="Book Antiqua" w:hAnsi="Book Antiqua" w:cs="Calibri"/>
          <w:color w:val="000000" w:themeColor="text1"/>
          <w:sz w:val="24"/>
          <w:szCs w:val="24"/>
          <w:lang w:val="en-GB"/>
        </w:rPr>
      </w:pPr>
      <w:r w:rsidRPr="003922C5">
        <w:rPr>
          <w:rFonts w:ascii="Book Antiqua" w:hAnsi="Book Antiqua" w:cs="Arial"/>
          <w:color w:val="000000" w:themeColor="text1"/>
          <w:sz w:val="24"/>
          <w:szCs w:val="24"/>
          <w:shd w:val="clear" w:color="auto" w:fill="FFFFFF"/>
        </w:rPr>
        <w:t xml:space="preserve"> </w:t>
      </w:r>
      <w:r w:rsidR="00D609E3">
        <w:rPr>
          <w:rFonts w:ascii="Book Antiqua" w:hAnsi="Book Antiqua" w:cs="Arial"/>
          <w:color w:val="000000" w:themeColor="text1"/>
          <w:sz w:val="24"/>
          <w:szCs w:val="24"/>
          <w:shd w:val="clear" w:color="auto" w:fill="FFFFFF"/>
        </w:rPr>
        <w:t>‘</w:t>
      </w:r>
      <w:r w:rsidRPr="003922C5">
        <w:rPr>
          <w:rFonts w:ascii="Book Antiqua" w:hAnsi="Book Antiqua" w:cs="Arial"/>
          <w:color w:val="000000" w:themeColor="text1"/>
          <w:sz w:val="24"/>
          <w:szCs w:val="24"/>
          <w:shd w:val="clear" w:color="auto" w:fill="FFFFFF"/>
        </w:rPr>
        <w:t>considers that the principle of equality before the law, equal protection before the law and non-discrimination belongs to </w:t>
      </w:r>
      <w:r w:rsidRPr="003922C5">
        <w:rPr>
          <w:rStyle w:val="Emphasis"/>
          <w:rFonts w:ascii="Book Antiqua" w:hAnsi="Book Antiqua" w:cs="Arial"/>
          <w:color w:val="000000" w:themeColor="text1"/>
          <w:sz w:val="24"/>
          <w:szCs w:val="24"/>
          <w:bdr w:val="none" w:sz="0" w:space="0" w:color="auto" w:frame="1"/>
          <w:shd w:val="clear" w:color="auto" w:fill="FFFFFF"/>
        </w:rPr>
        <w:t>jus cogens</w:t>
      </w:r>
      <w:r w:rsidRPr="003922C5">
        <w:rPr>
          <w:rFonts w:ascii="Book Antiqua" w:hAnsi="Book Antiqua" w:cs="Arial"/>
          <w:color w:val="000000" w:themeColor="text1"/>
          <w:sz w:val="24"/>
          <w:szCs w:val="24"/>
          <w:shd w:val="clear" w:color="auto" w:fill="FFFFFF"/>
        </w:rPr>
        <w:t>, because the whole legal structure of national and international public order rests on it and it is a fundamental principle that permeates all laws.</w:t>
      </w:r>
      <w:r w:rsidR="00D609E3">
        <w:rPr>
          <w:rFonts w:ascii="Book Antiqua" w:hAnsi="Book Antiqua" w:cs="Arial"/>
          <w:color w:val="000000" w:themeColor="text1"/>
          <w:sz w:val="24"/>
          <w:szCs w:val="24"/>
          <w:shd w:val="clear" w:color="auto" w:fill="FFFFFF"/>
        </w:rPr>
        <w:t>’</w:t>
      </w:r>
      <w:r w:rsidR="00053260" w:rsidRPr="003922C5">
        <w:rPr>
          <w:rStyle w:val="FootnoteReference"/>
          <w:rFonts w:ascii="Book Antiqua" w:hAnsi="Book Antiqua" w:cs="Arial"/>
          <w:color w:val="000000" w:themeColor="text1"/>
          <w:sz w:val="24"/>
          <w:szCs w:val="24"/>
          <w:shd w:val="clear" w:color="auto" w:fill="FFFFFF"/>
        </w:rPr>
        <w:t xml:space="preserve"> </w:t>
      </w:r>
      <w:r w:rsidR="00053260" w:rsidRPr="003922C5">
        <w:rPr>
          <w:rStyle w:val="FootnoteReference"/>
          <w:rFonts w:ascii="Book Antiqua" w:hAnsi="Book Antiqua" w:cs="Arial"/>
          <w:color w:val="000000" w:themeColor="text1"/>
          <w:sz w:val="24"/>
          <w:szCs w:val="24"/>
          <w:shd w:val="clear" w:color="auto" w:fill="FFFFFF"/>
        </w:rPr>
        <w:footnoteReference w:id="12"/>
      </w:r>
      <w:r w:rsidR="007610BE" w:rsidRPr="003922C5">
        <w:rPr>
          <w:rFonts w:ascii="Book Antiqua" w:hAnsi="Book Antiqua" w:cs="Arial"/>
          <w:color w:val="000000" w:themeColor="text1"/>
          <w:sz w:val="24"/>
          <w:szCs w:val="24"/>
          <w:shd w:val="clear" w:color="auto" w:fill="FFFFFF"/>
        </w:rPr>
        <w:t xml:space="preserve"> </w:t>
      </w:r>
    </w:p>
    <w:p w14:paraId="282B36BF" w14:textId="77777777" w:rsidR="00D609E3" w:rsidRDefault="00D609E3" w:rsidP="00D609E3">
      <w:pPr>
        <w:pStyle w:val="ListParagraph"/>
        <w:rPr>
          <w:rFonts w:ascii="Book Antiqua" w:hAnsi="Book Antiqua" w:cs="Arial"/>
          <w:i/>
          <w:iCs/>
          <w:color w:val="000000" w:themeColor="text1"/>
          <w:sz w:val="24"/>
          <w:szCs w:val="24"/>
          <w:shd w:val="clear" w:color="auto" w:fill="FFFFFF"/>
        </w:rPr>
      </w:pPr>
    </w:p>
    <w:p w14:paraId="4C1F3AD8" w14:textId="77777777" w:rsidR="00D609E3" w:rsidRPr="00D609E3" w:rsidRDefault="007610BE" w:rsidP="00D609E3">
      <w:pPr>
        <w:pStyle w:val="BodyText2"/>
        <w:numPr>
          <w:ilvl w:val="0"/>
          <w:numId w:val="1"/>
        </w:numPr>
        <w:tabs>
          <w:tab w:val="left" w:pos="-720"/>
        </w:tabs>
        <w:suppressAutoHyphens/>
        <w:spacing w:line="360" w:lineRule="auto"/>
        <w:jc w:val="both"/>
        <w:rPr>
          <w:rFonts w:ascii="Book Antiqua" w:hAnsi="Book Antiqua" w:cs="Calibri"/>
          <w:color w:val="000000" w:themeColor="text1"/>
          <w:sz w:val="24"/>
          <w:szCs w:val="24"/>
          <w:lang w:val="en-GB"/>
        </w:rPr>
      </w:pPr>
      <w:r w:rsidRPr="003922C5">
        <w:rPr>
          <w:rFonts w:ascii="Book Antiqua" w:hAnsi="Book Antiqua" w:cs="Arial"/>
          <w:i/>
          <w:iCs/>
          <w:color w:val="000000" w:themeColor="text1"/>
          <w:sz w:val="24"/>
          <w:szCs w:val="24"/>
          <w:shd w:val="clear" w:color="auto" w:fill="FFFFFF"/>
        </w:rPr>
        <w:t>Jus cogens</w:t>
      </w:r>
      <w:r w:rsidRPr="003922C5">
        <w:rPr>
          <w:rFonts w:ascii="Book Antiqua" w:hAnsi="Book Antiqua" w:cs="Arial"/>
          <w:color w:val="000000" w:themeColor="text1"/>
          <w:sz w:val="24"/>
          <w:szCs w:val="24"/>
          <w:shd w:val="clear" w:color="auto" w:fill="FFFFFF"/>
        </w:rPr>
        <w:t xml:space="preserve"> constitutes a peremptory norm of international law</w:t>
      </w:r>
      <w:r w:rsidR="00053260" w:rsidRPr="003922C5">
        <w:rPr>
          <w:rFonts w:ascii="Book Antiqua" w:hAnsi="Book Antiqua" w:cs="Arial"/>
          <w:color w:val="000000" w:themeColor="text1"/>
          <w:sz w:val="24"/>
          <w:szCs w:val="24"/>
          <w:shd w:val="clear" w:color="auto" w:fill="FFFFFF"/>
        </w:rPr>
        <w:t xml:space="preserve"> that is</w:t>
      </w:r>
      <w:r w:rsidRPr="003922C5">
        <w:rPr>
          <w:rFonts w:ascii="Book Antiqua" w:hAnsi="Book Antiqua" w:cs="Arial"/>
          <w:color w:val="000000" w:themeColor="text1"/>
          <w:sz w:val="24"/>
          <w:szCs w:val="24"/>
          <w:shd w:val="clear" w:color="auto" w:fill="FFFFFF"/>
        </w:rPr>
        <w:t xml:space="preserve"> </w:t>
      </w:r>
      <w:r w:rsidR="00D609E3">
        <w:rPr>
          <w:rFonts w:ascii="Book Antiqua" w:hAnsi="Book Antiqua" w:cs="Arial"/>
          <w:color w:val="000000" w:themeColor="text1"/>
          <w:sz w:val="24"/>
          <w:szCs w:val="24"/>
          <w:shd w:val="clear" w:color="auto" w:fill="FFFFFF"/>
        </w:rPr>
        <w:t>‘</w:t>
      </w:r>
      <w:r w:rsidR="00053260" w:rsidRPr="003922C5">
        <w:rPr>
          <w:rFonts w:ascii="Book Antiqua" w:hAnsi="Book Antiqua"/>
          <w:color w:val="000000" w:themeColor="text1"/>
          <w:sz w:val="24"/>
          <w:szCs w:val="24"/>
        </w:rPr>
        <w:t>a norm accepted and recognized by the international community of States as a whole as a norm from which no derogation is permitted.</w:t>
      </w:r>
      <w:r w:rsidR="00D609E3">
        <w:rPr>
          <w:rFonts w:ascii="Book Antiqua" w:hAnsi="Book Antiqua"/>
          <w:color w:val="000000" w:themeColor="text1"/>
          <w:sz w:val="24"/>
          <w:szCs w:val="24"/>
        </w:rPr>
        <w:t>’</w:t>
      </w:r>
      <w:r w:rsidRPr="003922C5">
        <w:rPr>
          <w:rFonts w:ascii="Book Antiqua" w:hAnsi="Book Antiqua" w:cs="Arial"/>
          <w:color w:val="000000" w:themeColor="text1"/>
          <w:sz w:val="24"/>
          <w:szCs w:val="24"/>
          <w:shd w:val="clear" w:color="auto" w:fill="FFFFFF"/>
        </w:rPr>
        <w:t xml:space="preserve"> </w:t>
      </w:r>
      <w:r w:rsidR="00053260" w:rsidRPr="003922C5">
        <w:rPr>
          <w:rStyle w:val="FootnoteReference"/>
          <w:rFonts w:ascii="Book Antiqua" w:hAnsi="Book Antiqua" w:cs="Arial"/>
          <w:color w:val="000000" w:themeColor="text1"/>
          <w:sz w:val="24"/>
          <w:szCs w:val="24"/>
          <w:shd w:val="clear" w:color="auto" w:fill="FFFFFF"/>
        </w:rPr>
        <w:footnoteReference w:id="13"/>
      </w:r>
    </w:p>
    <w:p w14:paraId="65215A91" w14:textId="77777777" w:rsidR="00D609E3" w:rsidRDefault="00D609E3" w:rsidP="00D609E3">
      <w:pPr>
        <w:pStyle w:val="ListParagraph"/>
        <w:rPr>
          <w:rFonts w:ascii="Book Antiqua" w:hAnsi="Book Antiqua" w:cstheme="minorHAnsi"/>
          <w:color w:val="000000" w:themeColor="text1"/>
          <w:sz w:val="24"/>
          <w:szCs w:val="24"/>
        </w:rPr>
      </w:pPr>
    </w:p>
    <w:p w14:paraId="2277DFC1" w14:textId="2ECC2A03" w:rsidR="00FA7373" w:rsidRPr="00D609E3" w:rsidRDefault="00FA7373" w:rsidP="00D609E3">
      <w:pPr>
        <w:pStyle w:val="BodyText2"/>
        <w:numPr>
          <w:ilvl w:val="0"/>
          <w:numId w:val="1"/>
        </w:numPr>
        <w:tabs>
          <w:tab w:val="left" w:pos="-720"/>
        </w:tabs>
        <w:suppressAutoHyphens/>
        <w:spacing w:line="360" w:lineRule="auto"/>
        <w:jc w:val="both"/>
        <w:rPr>
          <w:rFonts w:ascii="Book Antiqua" w:hAnsi="Book Antiqua" w:cs="Calibri"/>
          <w:color w:val="000000" w:themeColor="text1"/>
          <w:sz w:val="24"/>
          <w:szCs w:val="24"/>
          <w:lang w:val="en-GB"/>
        </w:rPr>
      </w:pPr>
      <w:r w:rsidRPr="00D609E3">
        <w:rPr>
          <w:rFonts w:ascii="Book Antiqua" w:hAnsi="Book Antiqua" w:cstheme="minorHAnsi"/>
          <w:color w:val="000000" w:themeColor="text1"/>
          <w:sz w:val="24"/>
          <w:szCs w:val="24"/>
        </w:rPr>
        <w:t>Gender equality</w:t>
      </w:r>
      <w:r w:rsidR="00FC1272" w:rsidRPr="00D609E3">
        <w:rPr>
          <w:rFonts w:ascii="Book Antiqua" w:hAnsi="Book Antiqua" w:cstheme="minorHAnsi"/>
          <w:color w:val="000000" w:themeColor="text1"/>
          <w:sz w:val="24"/>
          <w:szCs w:val="24"/>
        </w:rPr>
        <w:t xml:space="preserve"> is further reinforced by the creation of international architecture for its </w:t>
      </w:r>
      <w:proofErr w:type="spellStart"/>
      <w:r w:rsidR="00FC1272" w:rsidRPr="00D609E3">
        <w:rPr>
          <w:rFonts w:ascii="Book Antiqua" w:hAnsi="Book Antiqua" w:cstheme="minorHAnsi"/>
          <w:color w:val="000000" w:themeColor="text1"/>
          <w:sz w:val="24"/>
          <w:szCs w:val="24"/>
        </w:rPr>
        <w:t>realisation</w:t>
      </w:r>
      <w:proofErr w:type="spellEnd"/>
      <w:r w:rsidR="00FC1272" w:rsidRPr="00D609E3">
        <w:rPr>
          <w:rFonts w:ascii="Book Antiqua" w:hAnsi="Book Antiqua" w:cstheme="minorHAnsi"/>
          <w:color w:val="000000" w:themeColor="text1"/>
          <w:sz w:val="24"/>
          <w:szCs w:val="24"/>
        </w:rPr>
        <w:t xml:space="preserve">, namely the UN Entity for Gender Equality and the Empowerment of Women (UN Women). </w:t>
      </w:r>
      <w:r w:rsidRPr="00D609E3">
        <w:rPr>
          <w:rFonts w:ascii="Book Antiqua" w:hAnsi="Book Antiqua" w:cstheme="minorHAnsi"/>
          <w:color w:val="000000" w:themeColor="text1"/>
          <w:sz w:val="24"/>
          <w:szCs w:val="24"/>
        </w:rPr>
        <w:t xml:space="preserve">The UN Human Rights Council has established a Working Group </w:t>
      </w:r>
      <w:r w:rsidRPr="00D609E3">
        <w:rPr>
          <w:rFonts w:ascii="Book Antiqua" w:hAnsi="Book Antiqua"/>
          <w:color w:val="000000" w:themeColor="text1"/>
          <w:sz w:val="24"/>
          <w:szCs w:val="24"/>
        </w:rPr>
        <w:t>on the issue of discrimination against women in law and in practice.</w:t>
      </w:r>
      <w:r w:rsidRPr="003922C5">
        <w:rPr>
          <w:rStyle w:val="FootnoteReference"/>
          <w:rFonts w:ascii="Book Antiqua" w:hAnsi="Book Antiqua"/>
          <w:color w:val="000000" w:themeColor="text1"/>
          <w:sz w:val="24"/>
          <w:szCs w:val="24"/>
        </w:rPr>
        <w:footnoteReference w:id="14"/>
      </w:r>
      <w:r w:rsidRPr="00D609E3">
        <w:rPr>
          <w:rFonts w:ascii="Book Antiqua" w:hAnsi="Book Antiqua"/>
          <w:color w:val="000000" w:themeColor="text1"/>
          <w:sz w:val="24"/>
          <w:szCs w:val="24"/>
        </w:rPr>
        <w:t xml:space="preserve"> </w:t>
      </w:r>
      <w:r w:rsidR="003251A8" w:rsidRPr="00D609E3">
        <w:rPr>
          <w:rFonts w:ascii="Book Antiqua" w:hAnsi="Book Antiqua"/>
          <w:color w:val="000000" w:themeColor="text1"/>
          <w:sz w:val="24"/>
          <w:szCs w:val="24"/>
        </w:rPr>
        <w:t xml:space="preserve">The UN Security Council has affirmed that ‘sustainable peace requires an integrated approach based on coherence between political, security, development, human rights, including gender equality, and rule of law and justice activities’ and </w:t>
      </w:r>
      <w:r w:rsidR="00497710" w:rsidRPr="00D609E3">
        <w:rPr>
          <w:rFonts w:ascii="Book Antiqua" w:hAnsi="Book Antiqua"/>
          <w:color w:val="000000" w:themeColor="text1"/>
          <w:sz w:val="24"/>
          <w:szCs w:val="24"/>
        </w:rPr>
        <w:t xml:space="preserve">has </w:t>
      </w:r>
      <w:r w:rsidR="003251A8" w:rsidRPr="00D609E3">
        <w:rPr>
          <w:rFonts w:ascii="Book Antiqua" w:hAnsi="Book Antiqua"/>
          <w:color w:val="000000" w:themeColor="text1"/>
          <w:sz w:val="24"/>
          <w:szCs w:val="24"/>
        </w:rPr>
        <w:t>reiterated its intention to promote gender equality.</w:t>
      </w:r>
      <w:r w:rsidR="003251A8" w:rsidRPr="003922C5">
        <w:rPr>
          <w:rStyle w:val="FootnoteReference"/>
          <w:rFonts w:ascii="Book Antiqua" w:hAnsi="Book Antiqua"/>
          <w:color w:val="000000" w:themeColor="text1"/>
          <w:sz w:val="24"/>
          <w:szCs w:val="24"/>
        </w:rPr>
        <w:footnoteReference w:id="15"/>
      </w:r>
      <w:r w:rsidR="003251A8" w:rsidRPr="00D609E3">
        <w:rPr>
          <w:rFonts w:ascii="Book Antiqua" w:hAnsi="Book Antiqua"/>
          <w:color w:val="000000" w:themeColor="text1"/>
          <w:sz w:val="24"/>
          <w:szCs w:val="24"/>
        </w:rPr>
        <w:t xml:space="preserve"> </w:t>
      </w:r>
      <w:r w:rsidR="00FC1272" w:rsidRPr="00D609E3">
        <w:rPr>
          <w:rFonts w:ascii="Book Antiqua" w:hAnsi="Book Antiqua" w:cstheme="minorHAnsi"/>
          <w:color w:val="000000" w:themeColor="text1"/>
          <w:sz w:val="24"/>
          <w:szCs w:val="24"/>
        </w:rPr>
        <w:t xml:space="preserve">Gender equality </w:t>
      </w:r>
      <w:r w:rsidR="00C63BAD" w:rsidRPr="00D609E3">
        <w:rPr>
          <w:rFonts w:ascii="Book Antiqua" w:hAnsi="Book Antiqua" w:cstheme="minorHAnsi"/>
          <w:color w:val="000000" w:themeColor="text1"/>
          <w:sz w:val="24"/>
          <w:szCs w:val="24"/>
        </w:rPr>
        <w:t>constitutes</w:t>
      </w:r>
      <w:r w:rsidR="00FC1272" w:rsidRPr="00D609E3">
        <w:rPr>
          <w:rFonts w:ascii="Book Antiqua" w:hAnsi="Book Antiqua" w:cstheme="minorHAnsi"/>
          <w:color w:val="000000" w:themeColor="text1"/>
          <w:sz w:val="24"/>
          <w:szCs w:val="24"/>
        </w:rPr>
        <w:t xml:space="preserve"> Goal 5 of the UN’s </w:t>
      </w:r>
      <w:r w:rsidR="00C63BAD" w:rsidRPr="00D609E3">
        <w:rPr>
          <w:rFonts w:ascii="Book Antiqua" w:hAnsi="Book Antiqua" w:cstheme="minorHAnsi"/>
          <w:color w:val="000000" w:themeColor="text1"/>
          <w:sz w:val="24"/>
          <w:szCs w:val="24"/>
        </w:rPr>
        <w:t>Sustainable</w:t>
      </w:r>
      <w:r w:rsidR="00FC1272" w:rsidRPr="00D609E3">
        <w:rPr>
          <w:rFonts w:ascii="Book Antiqua" w:hAnsi="Book Antiqua" w:cstheme="minorHAnsi"/>
          <w:color w:val="000000" w:themeColor="text1"/>
          <w:sz w:val="24"/>
          <w:szCs w:val="24"/>
        </w:rPr>
        <w:t xml:space="preserve"> </w:t>
      </w:r>
      <w:r w:rsidR="00C63BAD" w:rsidRPr="00D609E3">
        <w:rPr>
          <w:rFonts w:ascii="Book Antiqua" w:hAnsi="Book Antiqua" w:cstheme="minorHAnsi"/>
          <w:color w:val="000000" w:themeColor="text1"/>
          <w:sz w:val="24"/>
          <w:szCs w:val="24"/>
        </w:rPr>
        <w:t>Development</w:t>
      </w:r>
      <w:r w:rsidR="00FC1272" w:rsidRPr="00D609E3">
        <w:rPr>
          <w:rFonts w:ascii="Book Antiqua" w:hAnsi="Book Antiqua" w:cstheme="minorHAnsi"/>
          <w:color w:val="000000" w:themeColor="text1"/>
          <w:sz w:val="24"/>
          <w:szCs w:val="24"/>
        </w:rPr>
        <w:t xml:space="preserve"> Goals: ‘achieve gender equality and empower </w:t>
      </w:r>
      <w:r w:rsidR="00C63BAD" w:rsidRPr="00D609E3">
        <w:rPr>
          <w:rFonts w:ascii="Book Antiqua" w:hAnsi="Book Antiqua" w:cstheme="minorHAnsi"/>
          <w:color w:val="000000" w:themeColor="text1"/>
          <w:sz w:val="24"/>
          <w:szCs w:val="24"/>
        </w:rPr>
        <w:t>a</w:t>
      </w:r>
      <w:r w:rsidR="00FC1272" w:rsidRPr="00D609E3">
        <w:rPr>
          <w:rFonts w:ascii="Book Antiqua" w:hAnsi="Book Antiqua" w:cstheme="minorHAnsi"/>
          <w:color w:val="000000" w:themeColor="text1"/>
          <w:sz w:val="24"/>
          <w:szCs w:val="24"/>
        </w:rPr>
        <w:t>ll women and girls.</w:t>
      </w:r>
      <w:r w:rsidR="0011430B">
        <w:rPr>
          <w:rFonts w:ascii="Book Antiqua" w:hAnsi="Book Antiqua" w:cstheme="minorHAnsi"/>
          <w:color w:val="000000" w:themeColor="text1"/>
          <w:sz w:val="24"/>
          <w:szCs w:val="24"/>
        </w:rPr>
        <w:t>’</w:t>
      </w:r>
      <w:r w:rsidR="00FC1272" w:rsidRPr="003922C5">
        <w:rPr>
          <w:rStyle w:val="FootnoteReference"/>
          <w:rFonts w:ascii="Book Antiqua" w:hAnsi="Book Antiqua" w:cstheme="minorHAnsi"/>
          <w:color w:val="000000" w:themeColor="text1"/>
          <w:sz w:val="24"/>
          <w:szCs w:val="24"/>
        </w:rPr>
        <w:footnoteReference w:id="16"/>
      </w:r>
      <w:r w:rsidR="00FC1272" w:rsidRPr="00D609E3">
        <w:rPr>
          <w:rFonts w:ascii="Book Antiqua" w:hAnsi="Book Antiqua" w:cstheme="minorHAnsi"/>
          <w:color w:val="000000" w:themeColor="text1"/>
          <w:sz w:val="24"/>
          <w:szCs w:val="24"/>
        </w:rPr>
        <w:t xml:space="preserve">  </w:t>
      </w:r>
    </w:p>
    <w:p w14:paraId="4674FA2D" w14:textId="77777777" w:rsidR="00D609E3" w:rsidRPr="00D609E3" w:rsidRDefault="00D609E3" w:rsidP="00D609E3">
      <w:pPr>
        <w:pStyle w:val="BodyText2"/>
        <w:tabs>
          <w:tab w:val="left" w:pos="-720"/>
        </w:tabs>
        <w:suppressAutoHyphens/>
        <w:spacing w:line="360" w:lineRule="auto"/>
        <w:jc w:val="both"/>
        <w:rPr>
          <w:rFonts w:ascii="Book Antiqua" w:hAnsi="Book Antiqua" w:cs="Calibri"/>
          <w:color w:val="000000" w:themeColor="text1"/>
          <w:sz w:val="24"/>
          <w:szCs w:val="24"/>
          <w:lang w:val="en-GB"/>
        </w:rPr>
      </w:pPr>
    </w:p>
    <w:p w14:paraId="386C7470" w14:textId="2D06A2D0" w:rsidR="00FE3AE5" w:rsidRPr="00813C8F" w:rsidRDefault="00FA7373" w:rsidP="00813C8F">
      <w:pPr>
        <w:pStyle w:val="BodyText2"/>
        <w:numPr>
          <w:ilvl w:val="0"/>
          <w:numId w:val="1"/>
        </w:numPr>
        <w:tabs>
          <w:tab w:val="left" w:pos="-720"/>
        </w:tabs>
        <w:suppressAutoHyphens/>
        <w:spacing w:line="360" w:lineRule="auto"/>
        <w:jc w:val="both"/>
        <w:rPr>
          <w:rFonts w:ascii="Book Antiqua" w:hAnsi="Book Antiqua" w:cs="Calibri"/>
          <w:color w:val="000000" w:themeColor="text1"/>
          <w:sz w:val="24"/>
          <w:szCs w:val="24"/>
        </w:rPr>
      </w:pPr>
      <w:r w:rsidRPr="003922C5">
        <w:rPr>
          <w:rFonts w:ascii="Book Antiqua" w:hAnsi="Book Antiqua" w:cs="Calibri"/>
          <w:color w:val="000000" w:themeColor="text1"/>
          <w:sz w:val="24"/>
          <w:szCs w:val="24"/>
          <w:lang w:val="en-GB"/>
        </w:rPr>
        <w:t>Gender equality is thus entrenched in international law</w:t>
      </w:r>
      <w:r w:rsidR="00936E10" w:rsidRPr="003922C5">
        <w:rPr>
          <w:rFonts w:ascii="Book Antiqua" w:hAnsi="Book Antiqua" w:cs="Calibri"/>
          <w:color w:val="000000" w:themeColor="text1"/>
          <w:sz w:val="24"/>
          <w:szCs w:val="24"/>
          <w:lang w:val="en-GB"/>
        </w:rPr>
        <w:t xml:space="preserve">, </w:t>
      </w:r>
      <w:r w:rsidRPr="003922C5">
        <w:rPr>
          <w:rFonts w:ascii="Book Antiqua" w:hAnsi="Book Antiqua" w:cs="Calibri"/>
          <w:color w:val="000000" w:themeColor="text1"/>
          <w:sz w:val="24"/>
          <w:szCs w:val="24"/>
          <w:lang w:val="en-GB"/>
        </w:rPr>
        <w:t>policy</w:t>
      </w:r>
      <w:r w:rsidR="00936E10" w:rsidRPr="003922C5">
        <w:rPr>
          <w:rFonts w:ascii="Book Antiqua" w:hAnsi="Book Antiqua" w:cs="Calibri"/>
          <w:color w:val="000000" w:themeColor="text1"/>
          <w:sz w:val="24"/>
          <w:szCs w:val="24"/>
          <w:lang w:val="en-GB"/>
        </w:rPr>
        <w:t xml:space="preserve"> and institutions</w:t>
      </w:r>
      <w:r w:rsidRPr="003922C5">
        <w:rPr>
          <w:rFonts w:ascii="Book Antiqua" w:hAnsi="Book Antiqua" w:cs="Calibri"/>
          <w:color w:val="000000" w:themeColor="text1"/>
          <w:sz w:val="24"/>
          <w:szCs w:val="24"/>
          <w:lang w:val="en-GB"/>
        </w:rPr>
        <w:t>; it is at the very heart of human rights and UN principles. It has had further particular application in the conte</w:t>
      </w:r>
      <w:r w:rsidR="003251A8" w:rsidRPr="003922C5">
        <w:rPr>
          <w:rFonts w:ascii="Book Antiqua" w:hAnsi="Book Antiqua" w:cs="Calibri"/>
          <w:color w:val="000000" w:themeColor="text1"/>
          <w:sz w:val="24"/>
          <w:szCs w:val="24"/>
          <w:lang w:val="en-GB"/>
        </w:rPr>
        <w:t>xt of elimination of violence against women</w:t>
      </w:r>
      <w:r w:rsidR="00933660" w:rsidRPr="003922C5">
        <w:rPr>
          <w:rFonts w:ascii="Book Antiqua" w:hAnsi="Book Antiqua" w:cs="Calibri"/>
          <w:color w:val="000000" w:themeColor="text1"/>
          <w:sz w:val="24"/>
          <w:szCs w:val="24"/>
          <w:lang w:val="en-GB"/>
        </w:rPr>
        <w:t>, ending impunity</w:t>
      </w:r>
      <w:r w:rsidR="00497710" w:rsidRPr="003922C5">
        <w:rPr>
          <w:rFonts w:ascii="Book Antiqua" w:hAnsi="Book Antiqua" w:cs="Calibri"/>
          <w:color w:val="000000" w:themeColor="text1"/>
          <w:sz w:val="24"/>
          <w:szCs w:val="24"/>
          <w:lang w:val="en-GB"/>
        </w:rPr>
        <w:t>, s</w:t>
      </w:r>
      <w:r w:rsidR="00936E10" w:rsidRPr="003922C5">
        <w:rPr>
          <w:rFonts w:ascii="Book Antiqua" w:hAnsi="Book Antiqua" w:cs="Calibri"/>
          <w:color w:val="000000" w:themeColor="text1"/>
          <w:sz w:val="24"/>
          <w:szCs w:val="24"/>
          <w:lang w:val="en-GB"/>
        </w:rPr>
        <w:t>ecuring accountability for its commission</w:t>
      </w:r>
      <w:r w:rsidR="00497710" w:rsidRPr="003922C5">
        <w:rPr>
          <w:rFonts w:ascii="Book Antiqua" w:hAnsi="Book Antiqua" w:cs="Calibri"/>
          <w:color w:val="000000" w:themeColor="text1"/>
          <w:sz w:val="24"/>
          <w:szCs w:val="24"/>
          <w:lang w:val="en-GB"/>
        </w:rPr>
        <w:t xml:space="preserve"> and reparations for those whose rights have been violated. </w:t>
      </w:r>
      <w:r w:rsidR="003251A8" w:rsidRPr="003922C5">
        <w:rPr>
          <w:rFonts w:ascii="Book Antiqua" w:hAnsi="Book Antiqua" w:cs="Calibri"/>
          <w:color w:val="000000" w:themeColor="text1"/>
          <w:sz w:val="24"/>
          <w:szCs w:val="24"/>
          <w:lang w:val="en-GB"/>
        </w:rPr>
        <w:t xml:space="preserve"> </w:t>
      </w:r>
    </w:p>
    <w:p w14:paraId="2BE2F250" w14:textId="77777777" w:rsidR="00D609E3" w:rsidRPr="003922C5" w:rsidRDefault="00D609E3" w:rsidP="00D609E3">
      <w:pPr>
        <w:pStyle w:val="BodyText2"/>
        <w:tabs>
          <w:tab w:val="left" w:pos="-720"/>
        </w:tabs>
        <w:suppressAutoHyphens/>
        <w:spacing w:line="360" w:lineRule="auto"/>
        <w:jc w:val="both"/>
        <w:rPr>
          <w:rFonts w:ascii="Book Antiqua" w:hAnsi="Book Antiqua" w:cs="Calibri"/>
          <w:color w:val="000000" w:themeColor="text1"/>
          <w:sz w:val="24"/>
          <w:szCs w:val="24"/>
        </w:rPr>
      </w:pPr>
    </w:p>
    <w:p w14:paraId="304E4E7B" w14:textId="32E36581" w:rsidR="00855EF8" w:rsidRPr="00813C8F" w:rsidRDefault="00813C8F" w:rsidP="00813C8F">
      <w:pPr>
        <w:rPr>
          <w:rFonts w:ascii="Book Antiqua" w:hAnsi="Book Antiqua" w:cstheme="minorHAnsi"/>
          <w:i/>
          <w:iCs/>
          <w:color w:val="000000" w:themeColor="text1"/>
          <w:sz w:val="24"/>
          <w:szCs w:val="24"/>
        </w:rPr>
      </w:pPr>
      <w:r>
        <w:rPr>
          <w:rFonts w:ascii="Book Antiqua" w:hAnsi="Book Antiqua" w:cstheme="minorHAnsi"/>
          <w:i/>
          <w:iCs/>
          <w:color w:val="000000" w:themeColor="text1"/>
          <w:sz w:val="24"/>
          <w:szCs w:val="24"/>
        </w:rPr>
        <w:t>The Evolution of Gender Crimes in International Law</w:t>
      </w:r>
    </w:p>
    <w:p w14:paraId="5622C8A5" w14:textId="77777777" w:rsidR="00D36C07" w:rsidRPr="003922C5" w:rsidRDefault="00D36C07" w:rsidP="003922C5">
      <w:pPr>
        <w:pStyle w:val="ListParagraph"/>
        <w:rPr>
          <w:rFonts w:ascii="Book Antiqua" w:hAnsi="Book Antiqua" w:cstheme="minorHAnsi"/>
          <w:color w:val="000000" w:themeColor="text1"/>
          <w:sz w:val="24"/>
          <w:szCs w:val="24"/>
        </w:rPr>
      </w:pPr>
    </w:p>
    <w:p w14:paraId="73A2E1CC" w14:textId="4B59553C" w:rsidR="00AD44E9" w:rsidRPr="003922C5" w:rsidRDefault="00BA693A" w:rsidP="002F4056">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sidRPr="003922C5">
        <w:rPr>
          <w:rFonts w:ascii="Book Antiqua" w:hAnsi="Book Antiqua" w:cstheme="minorHAnsi"/>
          <w:color w:val="000000" w:themeColor="text1"/>
          <w:sz w:val="24"/>
          <w:szCs w:val="24"/>
        </w:rPr>
        <w:t>S</w:t>
      </w:r>
      <w:r w:rsidR="00D36C07" w:rsidRPr="003922C5">
        <w:rPr>
          <w:rFonts w:ascii="Book Antiqua" w:hAnsi="Book Antiqua" w:cstheme="minorHAnsi"/>
          <w:color w:val="000000" w:themeColor="text1"/>
          <w:sz w:val="24"/>
          <w:szCs w:val="24"/>
        </w:rPr>
        <w:t xml:space="preserve">exual violence in armed conflict </w:t>
      </w:r>
      <w:r w:rsidRPr="003922C5">
        <w:rPr>
          <w:rFonts w:ascii="Book Antiqua" w:hAnsi="Book Antiqua" w:cstheme="minorHAnsi"/>
          <w:color w:val="000000" w:themeColor="text1"/>
          <w:sz w:val="24"/>
          <w:szCs w:val="24"/>
        </w:rPr>
        <w:t xml:space="preserve">has long been prohibited under international </w:t>
      </w:r>
      <w:r w:rsidR="00F6273F" w:rsidRPr="003922C5">
        <w:rPr>
          <w:rFonts w:ascii="Book Antiqua" w:hAnsi="Book Antiqua" w:cstheme="minorHAnsi"/>
          <w:color w:val="000000" w:themeColor="text1"/>
          <w:sz w:val="24"/>
          <w:szCs w:val="24"/>
        </w:rPr>
        <w:t xml:space="preserve">humanitarian law (IHL). </w:t>
      </w:r>
      <w:r w:rsidR="00AD44E9" w:rsidRPr="003922C5">
        <w:rPr>
          <w:rFonts w:ascii="Book Antiqua" w:hAnsi="Book Antiqua" w:cstheme="minorHAnsi"/>
          <w:color w:val="000000" w:themeColor="text1"/>
          <w:sz w:val="24"/>
          <w:szCs w:val="24"/>
        </w:rPr>
        <w:t xml:space="preserve">Rules of IHL have been labelled by the International Court of Justice (ICJ) as </w:t>
      </w:r>
      <w:r w:rsidR="002F4056">
        <w:rPr>
          <w:rFonts w:ascii="Book Antiqua" w:hAnsi="Book Antiqua" w:cstheme="minorHAnsi"/>
          <w:color w:val="000000" w:themeColor="text1"/>
          <w:sz w:val="24"/>
          <w:szCs w:val="24"/>
        </w:rPr>
        <w:t>‘</w:t>
      </w:r>
      <w:r w:rsidR="00AD44E9" w:rsidRPr="003922C5">
        <w:rPr>
          <w:rFonts w:ascii="Book Antiqua" w:hAnsi="Book Antiqua"/>
          <w:color w:val="000000" w:themeColor="text1"/>
          <w:sz w:val="24"/>
          <w:szCs w:val="24"/>
        </w:rPr>
        <w:t>intransgressible principles of international customary law,</w:t>
      </w:r>
      <w:r w:rsidR="002F4056">
        <w:rPr>
          <w:rFonts w:ascii="Book Antiqua" w:hAnsi="Book Antiqua"/>
          <w:color w:val="000000" w:themeColor="text1"/>
          <w:sz w:val="24"/>
          <w:szCs w:val="24"/>
        </w:rPr>
        <w:t>’</w:t>
      </w:r>
      <w:r w:rsidR="00AD44E9" w:rsidRPr="003922C5">
        <w:rPr>
          <w:rStyle w:val="FootnoteReference"/>
          <w:rFonts w:ascii="Book Antiqua" w:hAnsi="Book Antiqua"/>
          <w:color w:val="000000" w:themeColor="text1"/>
          <w:sz w:val="24"/>
          <w:szCs w:val="24"/>
        </w:rPr>
        <w:footnoteReference w:id="17"/>
      </w:r>
      <w:r w:rsidR="00AD44E9" w:rsidRPr="003922C5">
        <w:rPr>
          <w:rFonts w:ascii="Book Antiqua" w:hAnsi="Book Antiqua"/>
          <w:color w:val="000000" w:themeColor="text1"/>
          <w:sz w:val="24"/>
          <w:szCs w:val="24"/>
        </w:rPr>
        <w:t xml:space="preserve"> a characterisation that indicates their importance in the international legal regulation of public order. </w:t>
      </w:r>
    </w:p>
    <w:p w14:paraId="25050C7B" w14:textId="77777777" w:rsidR="00AD44E9" w:rsidRPr="003922C5" w:rsidRDefault="00AD44E9" w:rsidP="003922C5">
      <w:pPr>
        <w:pStyle w:val="ListParagraph"/>
        <w:rPr>
          <w:rFonts w:ascii="Book Antiqua" w:hAnsi="Book Antiqua" w:cstheme="minorHAnsi"/>
          <w:color w:val="000000" w:themeColor="text1"/>
          <w:sz w:val="24"/>
          <w:szCs w:val="24"/>
        </w:rPr>
      </w:pPr>
    </w:p>
    <w:p w14:paraId="3FC8F710" w14:textId="4ABD37DC" w:rsidR="00D5013F" w:rsidRPr="003922C5" w:rsidRDefault="00BA693A" w:rsidP="002F4056">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sidRPr="003922C5">
        <w:rPr>
          <w:rFonts w:ascii="Book Antiqua" w:hAnsi="Book Antiqua" w:cstheme="minorHAnsi"/>
          <w:color w:val="000000" w:themeColor="text1"/>
          <w:sz w:val="24"/>
          <w:szCs w:val="24"/>
        </w:rPr>
        <w:t>Rape and sexual violence were forbidden in earlier Codes of Conduct issued as guidance to national armies such as the Lieber Code</w:t>
      </w:r>
      <w:r w:rsidR="00933660" w:rsidRPr="003922C5">
        <w:rPr>
          <w:rFonts w:ascii="Book Antiqua" w:hAnsi="Book Antiqua" w:cstheme="minorHAnsi"/>
          <w:color w:val="000000" w:themeColor="text1"/>
          <w:sz w:val="24"/>
          <w:szCs w:val="24"/>
        </w:rPr>
        <w:t xml:space="preserve">, </w:t>
      </w:r>
      <w:r w:rsidR="00D5013F" w:rsidRPr="003922C5">
        <w:rPr>
          <w:rFonts w:ascii="Book Antiqua" w:hAnsi="Book Antiqua" w:cstheme="minorHAnsi"/>
          <w:color w:val="000000" w:themeColor="text1"/>
          <w:sz w:val="24"/>
          <w:szCs w:val="24"/>
        </w:rPr>
        <w:t>promulgated</w:t>
      </w:r>
      <w:r w:rsidR="00933660" w:rsidRPr="003922C5">
        <w:rPr>
          <w:rFonts w:ascii="Book Antiqua" w:hAnsi="Book Antiqua" w:cstheme="minorHAnsi"/>
          <w:color w:val="000000" w:themeColor="text1"/>
          <w:sz w:val="24"/>
          <w:szCs w:val="24"/>
        </w:rPr>
        <w:t xml:space="preserve"> during the US civil war, </w:t>
      </w:r>
      <w:r w:rsidR="00EB4144" w:rsidRPr="003922C5">
        <w:rPr>
          <w:rFonts w:ascii="Book Antiqua" w:hAnsi="Book Antiqua" w:cstheme="minorHAnsi"/>
          <w:color w:val="000000" w:themeColor="text1"/>
          <w:sz w:val="24"/>
          <w:szCs w:val="24"/>
        </w:rPr>
        <w:t xml:space="preserve">that </w:t>
      </w:r>
      <w:r w:rsidR="00EB4144" w:rsidRPr="003922C5">
        <w:rPr>
          <w:rFonts w:ascii="Book Antiqua" w:hAnsi="Book Antiqua" w:cstheme="minorHAnsi"/>
          <w:color w:val="000000" w:themeColor="text1"/>
          <w:sz w:val="24"/>
          <w:szCs w:val="24"/>
          <w:shd w:val="clear" w:color="auto" w:fill="FFFFFF"/>
        </w:rPr>
        <w:t>prohibited under penalty of death ‘wanton violence committed against persons in the invaded country, … all rape, wounding, maiming, or killing of such inhabitants.’</w:t>
      </w:r>
      <w:r w:rsidR="00EB4144" w:rsidRPr="003922C5">
        <w:rPr>
          <w:rStyle w:val="FootnoteReference"/>
          <w:rFonts w:ascii="Book Antiqua" w:hAnsi="Book Antiqua" w:cstheme="minorHAnsi"/>
          <w:color w:val="000000" w:themeColor="text1"/>
          <w:sz w:val="24"/>
          <w:szCs w:val="24"/>
          <w:shd w:val="clear" w:color="auto" w:fill="FFFFFF"/>
        </w:rPr>
        <w:footnoteReference w:id="18"/>
      </w:r>
      <w:r w:rsidR="00EB4144" w:rsidRPr="003922C5">
        <w:rPr>
          <w:rFonts w:ascii="Book Antiqua" w:hAnsi="Book Antiqua" w:cstheme="minorHAnsi"/>
          <w:color w:val="000000" w:themeColor="text1"/>
          <w:sz w:val="24"/>
          <w:szCs w:val="24"/>
          <w:shd w:val="clear" w:color="auto" w:fill="FFFFFF"/>
        </w:rPr>
        <w:t xml:space="preserve"> </w:t>
      </w:r>
    </w:p>
    <w:p w14:paraId="6C7CC960" w14:textId="77777777" w:rsidR="00D5013F" w:rsidRPr="003922C5" w:rsidRDefault="00D5013F" w:rsidP="003922C5">
      <w:pPr>
        <w:pStyle w:val="ListParagraph"/>
        <w:rPr>
          <w:rFonts w:ascii="Book Antiqua" w:hAnsi="Book Antiqua" w:cstheme="minorHAnsi"/>
          <w:color w:val="000000" w:themeColor="text1"/>
          <w:sz w:val="24"/>
          <w:szCs w:val="24"/>
        </w:rPr>
      </w:pPr>
    </w:p>
    <w:p w14:paraId="0984898A" w14:textId="77777777" w:rsidR="002F4056" w:rsidRDefault="00BA693A" w:rsidP="002F4056">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sidRPr="003922C5">
        <w:rPr>
          <w:rFonts w:ascii="Book Antiqua" w:hAnsi="Book Antiqua" w:cstheme="minorHAnsi"/>
          <w:color w:val="000000" w:themeColor="text1"/>
          <w:sz w:val="24"/>
          <w:szCs w:val="24"/>
          <w:shd w:val="clear" w:color="auto" w:fill="FFFFFF"/>
        </w:rPr>
        <w:t xml:space="preserve">At the international level, the 1907 </w:t>
      </w:r>
      <w:r w:rsidRPr="003922C5">
        <w:rPr>
          <w:rFonts w:ascii="Book Antiqua" w:hAnsi="Book Antiqua" w:cstheme="minorHAnsi"/>
          <w:color w:val="000000" w:themeColor="text1"/>
          <w:sz w:val="24"/>
          <w:szCs w:val="24"/>
        </w:rPr>
        <w:t>Hague Regulations provide</w:t>
      </w:r>
      <w:r w:rsidR="00EB4144" w:rsidRPr="003922C5">
        <w:rPr>
          <w:rFonts w:ascii="Book Antiqua" w:hAnsi="Book Antiqua" w:cstheme="minorHAnsi"/>
          <w:color w:val="000000" w:themeColor="text1"/>
          <w:sz w:val="24"/>
          <w:szCs w:val="24"/>
        </w:rPr>
        <w:t>d</w:t>
      </w:r>
      <w:r w:rsidRPr="003922C5">
        <w:rPr>
          <w:rFonts w:ascii="Book Antiqua" w:hAnsi="Book Antiqua" w:cstheme="minorHAnsi"/>
          <w:color w:val="000000" w:themeColor="text1"/>
          <w:sz w:val="24"/>
          <w:szCs w:val="24"/>
        </w:rPr>
        <w:t xml:space="preserve"> that </w:t>
      </w:r>
      <w:r w:rsidR="002F4056">
        <w:rPr>
          <w:rFonts w:ascii="Book Antiqua" w:hAnsi="Book Antiqua" w:cstheme="minorHAnsi"/>
          <w:color w:val="000000" w:themeColor="text1"/>
          <w:sz w:val="24"/>
          <w:szCs w:val="24"/>
        </w:rPr>
        <w:t>‘</w:t>
      </w:r>
      <w:r w:rsidRPr="003922C5">
        <w:rPr>
          <w:rFonts w:ascii="Book Antiqua" w:hAnsi="Book Antiqua" w:cstheme="minorHAnsi"/>
          <w:color w:val="000000" w:themeColor="text1"/>
          <w:sz w:val="24"/>
          <w:szCs w:val="24"/>
        </w:rPr>
        <w:t xml:space="preserve">Family honour and rights, the lives of persons, </w:t>
      </w:r>
      <w:r w:rsidR="00EB4144" w:rsidRPr="003922C5">
        <w:rPr>
          <w:rFonts w:ascii="Book Antiqua" w:hAnsi="Book Antiqua" w:cstheme="minorHAnsi"/>
          <w:color w:val="000000" w:themeColor="text1"/>
          <w:sz w:val="24"/>
          <w:szCs w:val="24"/>
        </w:rPr>
        <w:t xml:space="preserve">… </w:t>
      </w:r>
      <w:r w:rsidRPr="003922C5">
        <w:rPr>
          <w:rFonts w:ascii="Book Antiqua" w:hAnsi="Book Antiqua" w:cstheme="minorHAnsi"/>
          <w:color w:val="000000" w:themeColor="text1"/>
          <w:sz w:val="24"/>
          <w:szCs w:val="24"/>
        </w:rPr>
        <w:t xml:space="preserve"> must be respected.</w:t>
      </w:r>
      <w:r w:rsidR="002F4056">
        <w:rPr>
          <w:rFonts w:ascii="Book Antiqua" w:hAnsi="Book Antiqua" w:cstheme="minorHAnsi"/>
          <w:color w:val="000000" w:themeColor="text1"/>
          <w:sz w:val="24"/>
          <w:szCs w:val="24"/>
        </w:rPr>
        <w:t>’</w:t>
      </w:r>
      <w:r w:rsidRPr="003922C5">
        <w:rPr>
          <w:rStyle w:val="FootnoteReference"/>
          <w:rFonts w:ascii="Book Antiqua" w:hAnsi="Book Antiqua" w:cstheme="minorHAnsi"/>
          <w:color w:val="000000" w:themeColor="text1"/>
          <w:sz w:val="24"/>
          <w:szCs w:val="24"/>
        </w:rPr>
        <w:footnoteReference w:id="19"/>
      </w:r>
      <w:r w:rsidRPr="003922C5">
        <w:rPr>
          <w:rFonts w:ascii="Book Antiqua" w:hAnsi="Book Antiqua" w:cstheme="minorHAnsi"/>
          <w:color w:val="000000" w:themeColor="text1"/>
          <w:sz w:val="24"/>
          <w:szCs w:val="24"/>
        </w:rPr>
        <w:t xml:space="preserve"> </w:t>
      </w:r>
      <w:r w:rsidR="00D5013F" w:rsidRPr="003922C5">
        <w:rPr>
          <w:rFonts w:ascii="Book Antiqua" w:hAnsi="Book Antiqua" w:cstheme="minorHAnsi"/>
          <w:color w:val="000000" w:themeColor="text1"/>
          <w:sz w:val="24"/>
          <w:szCs w:val="24"/>
        </w:rPr>
        <w:t xml:space="preserve">Respect for </w:t>
      </w:r>
      <w:r w:rsidR="002F4056">
        <w:rPr>
          <w:rFonts w:ascii="Book Antiqua" w:hAnsi="Book Antiqua" w:cstheme="minorHAnsi"/>
          <w:color w:val="000000" w:themeColor="text1"/>
          <w:sz w:val="24"/>
          <w:szCs w:val="24"/>
        </w:rPr>
        <w:t>‘</w:t>
      </w:r>
      <w:r w:rsidR="00EB4144" w:rsidRPr="003922C5">
        <w:rPr>
          <w:rFonts w:ascii="Book Antiqua" w:hAnsi="Book Antiqua" w:cstheme="minorHAnsi"/>
          <w:color w:val="000000" w:themeColor="text1"/>
          <w:sz w:val="24"/>
          <w:szCs w:val="24"/>
        </w:rPr>
        <w:t>Family honour</w:t>
      </w:r>
      <w:r w:rsidR="002F4056">
        <w:rPr>
          <w:rFonts w:ascii="Book Antiqua" w:hAnsi="Book Antiqua" w:cstheme="minorHAnsi"/>
          <w:color w:val="000000" w:themeColor="text1"/>
          <w:sz w:val="24"/>
          <w:szCs w:val="24"/>
        </w:rPr>
        <w:t>’</w:t>
      </w:r>
      <w:r w:rsidR="00EB4144" w:rsidRPr="003922C5">
        <w:rPr>
          <w:rFonts w:ascii="Book Antiqua" w:hAnsi="Book Antiqua" w:cstheme="minorHAnsi"/>
          <w:color w:val="000000" w:themeColor="text1"/>
          <w:sz w:val="24"/>
          <w:szCs w:val="24"/>
        </w:rPr>
        <w:t xml:space="preserve"> was code for </w:t>
      </w:r>
      <w:r w:rsidR="00D5013F" w:rsidRPr="003922C5">
        <w:rPr>
          <w:rFonts w:ascii="Book Antiqua" w:hAnsi="Book Antiqua" w:cstheme="minorHAnsi"/>
          <w:color w:val="000000" w:themeColor="text1"/>
          <w:sz w:val="24"/>
          <w:szCs w:val="24"/>
        </w:rPr>
        <w:t>prohibiti</w:t>
      </w:r>
      <w:r w:rsidR="00AD44E9" w:rsidRPr="003922C5">
        <w:rPr>
          <w:rFonts w:ascii="Book Antiqua" w:hAnsi="Book Antiqua" w:cstheme="minorHAnsi"/>
          <w:color w:val="000000" w:themeColor="text1"/>
          <w:sz w:val="24"/>
          <w:szCs w:val="24"/>
        </w:rPr>
        <w:t>on of</w:t>
      </w:r>
      <w:r w:rsidR="00D5013F" w:rsidRPr="003922C5">
        <w:rPr>
          <w:rFonts w:ascii="Book Antiqua" w:hAnsi="Book Antiqua" w:cstheme="minorHAnsi"/>
          <w:color w:val="000000" w:themeColor="text1"/>
          <w:sz w:val="24"/>
          <w:szCs w:val="24"/>
        </w:rPr>
        <w:t xml:space="preserve"> </w:t>
      </w:r>
      <w:r w:rsidR="00EB4144" w:rsidRPr="003922C5">
        <w:rPr>
          <w:rFonts w:ascii="Book Antiqua" w:hAnsi="Book Antiqua" w:cstheme="minorHAnsi"/>
          <w:color w:val="000000" w:themeColor="text1"/>
          <w:sz w:val="24"/>
          <w:szCs w:val="24"/>
        </w:rPr>
        <w:t xml:space="preserve">sexual violence. </w:t>
      </w:r>
    </w:p>
    <w:p w14:paraId="3C9D3106" w14:textId="77777777" w:rsidR="002F4056" w:rsidRPr="002F4056" w:rsidRDefault="002F4056" w:rsidP="002F4056">
      <w:pPr>
        <w:pStyle w:val="ListParagraph"/>
        <w:rPr>
          <w:rFonts w:ascii="Book Antiqua" w:hAnsi="Book Antiqua" w:cstheme="minorHAnsi"/>
          <w:color w:val="000000" w:themeColor="text1"/>
          <w:sz w:val="24"/>
          <w:szCs w:val="24"/>
        </w:rPr>
      </w:pPr>
    </w:p>
    <w:p w14:paraId="4BDAA719" w14:textId="77777777" w:rsidR="002F4056" w:rsidRDefault="00EB4144" w:rsidP="002F4056">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sidRPr="003922C5">
        <w:rPr>
          <w:rFonts w:ascii="Book Antiqua" w:hAnsi="Book Antiqua" w:cstheme="minorHAnsi"/>
          <w:color w:val="000000" w:themeColor="text1"/>
          <w:sz w:val="24"/>
          <w:szCs w:val="24"/>
        </w:rPr>
        <w:t>In 1949</w:t>
      </w:r>
      <w:r w:rsidR="002F4056">
        <w:rPr>
          <w:rFonts w:ascii="Book Antiqua" w:hAnsi="Book Antiqua" w:cstheme="minorHAnsi"/>
          <w:color w:val="000000" w:themeColor="text1"/>
          <w:sz w:val="24"/>
          <w:szCs w:val="24"/>
        </w:rPr>
        <w:t>,</w:t>
      </w:r>
      <w:r w:rsidR="00BA693A" w:rsidRPr="003922C5">
        <w:rPr>
          <w:rFonts w:ascii="Book Antiqua" w:hAnsi="Book Antiqua" w:cstheme="minorHAnsi"/>
          <w:color w:val="000000" w:themeColor="text1"/>
          <w:sz w:val="24"/>
          <w:szCs w:val="24"/>
        </w:rPr>
        <w:t xml:space="preserve"> Article 27 of the Fourth Geneva Convention applicable in international armed conflict requires women to be </w:t>
      </w:r>
      <w:r w:rsidR="002F4056">
        <w:rPr>
          <w:rFonts w:ascii="Book Antiqua" w:hAnsi="Book Antiqua" w:cstheme="minorHAnsi"/>
          <w:color w:val="000000" w:themeColor="text1"/>
          <w:sz w:val="24"/>
          <w:szCs w:val="24"/>
        </w:rPr>
        <w:t>‘</w:t>
      </w:r>
      <w:r w:rsidR="00BA693A" w:rsidRPr="003922C5">
        <w:rPr>
          <w:rFonts w:ascii="Book Antiqua" w:hAnsi="Book Antiqua" w:cstheme="minorHAnsi"/>
          <w:color w:val="000000" w:themeColor="text1"/>
          <w:sz w:val="24"/>
          <w:szCs w:val="24"/>
        </w:rPr>
        <w:t>especially protected against any attack on their honour, in particular against rape, enforced prostitution, or any form of indecent assault.</w:t>
      </w:r>
      <w:r w:rsidR="002F4056">
        <w:rPr>
          <w:rFonts w:ascii="Book Antiqua" w:hAnsi="Book Antiqua" w:cstheme="minorHAnsi"/>
          <w:color w:val="000000" w:themeColor="text1"/>
          <w:sz w:val="24"/>
          <w:szCs w:val="24"/>
        </w:rPr>
        <w:t>’</w:t>
      </w:r>
      <w:r w:rsidR="00BA693A" w:rsidRPr="003922C5">
        <w:rPr>
          <w:rStyle w:val="FootnoteReference"/>
          <w:rFonts w:ascii="Book Antiqua" w:hAnsi="Book Antiqua" w:cstheme="minorHAnsi"/>
          <w:color w:val="000000" w:themeColor="text1"/>
          <w:sz w:val="24"/>
          <w:szCs w:val="24"/>
        </w:rPr>
        <w:footnoteReference w:id="20"/>
      </w:r>
      <w:r w:rsidR="00BA693A" w:rsidRPr="003922C5">
        <w:rPr>
          <w:rFonts w:ascii="Book Antiqua" w:hAnsi="Book Antiqua" w:cstheme="minorHAnsi"/>
          <w:color w:val="000000" w:themeColor="text1"/>
          <w:sz w:val="24"/>
          <w:szCs w:val="24"/>
        </w:rPr>
        <w:t xml:space="preserve"> This was followed in almost identical language in Additional Protocol I.</w:t>
      </w:r>
      <w:r w:rsidR="00BA693A" w:rsidRPr="003922C5">
        <w:rPr>
          <w:rStyle w:val="FootnoteReference"/>
          <w:rFonts w:ascii="Book Antiqua" w:hAnsi="Book Antiqua" w:cstheme="minorHAnsi"/>
          <w:color w:val="000000" w:themeColor="text1"/>
          <w:sz w:val="24"/>
          <w:szCs w:val="24"/>
        </w:rPr>
        <w:footnoteReference w:id="21"/>
      </w:r>
      <w:r w:rsidR="00BA693A" w:rsidRPr="003922C5">
        <w:rPr>
          <w:rFonts w:ascii="Book Antiqua" w:hAnsi="Book Antiqua" w:cstheme="minorHAnsi"/>
          <w:color w:val="000000" w:themeColor="text1"/>
          <w:sz w:val="24"/>
          <w:szCs w:val="24"/>
        </w:rPr>
        <w:t xml:space="preserve"> </w:t>
      </w:r>
      <w:r w:rsidR="000B68F0" w:rsidRPr="003922C5">
        <w:rPr>
          <w:rFonts w:ascii="Book Antiqua" w:hAnsi="Book Antiqua" w:cstheme="minorHAnsi"/>
          <w:color w:val="000000" w:themeColor="text1"/>
          <w:sz w:val="24"/>
          <w:szCs w:val="24"/>
        </w:rPr>
        <w:t>I</w:t>
      </w:r>
      <w:r w:rsidR="00BA693A" w:rsidRPr="003922C5">
        <w:rPr>
          <w:rFonts w:ascii="Book Antiqua" w:hAnsi="Book Antiqua" w:cstheme="minorHAnsi"/>
          <w:color w:val="000000" w:themeColor="text1"/>
          <w:sz w:val="24"/>
          <w:szCs w:val="24"/>
        </w:rPr>
        <w:t xml:space="preserve">n non-international armed conflict violence to life and person, and outrages on personal dignity, humiliating and degrading treatment are prohibited </w:t>
      </w:r>
      <w:r w:rsidR="002F4056">
        <w:rPr>
          <w:rFonts w:ascii="Book Antiqua" w:hAnsi="Book Antiqua" w:cstheme="minorHAnsi"/>
          <w:color w:val="000000" w:themeColor="text1"/>
          <w:sz w:val="24"/>
          <w:szCs w:val="24"/>
        </w:rPr>
        <w:t>‘</w:t>
      </w:r>
      <w:r w:rsidR="00BA693A" w:rsidRPr="003922C5">
        <w:rPr>
          <w:rFonts w:ascii="Book Antiqua" w:hAnsi="Book Antiqua" w:cstheme="minorHAnsi"/>
          <w:color w:val="000000" w:themeColor="text1"/>
          <w:sz w:val="24"/>
          <w:szCs w:val="24"/>
        </w:rPr>
        <w:t>at any time and in any place.</w:t>
      </w:r>
      <w:r w:rsidR="002F4056">
        <w:rPr>
          <w:rFonts w:ascii="Book Antiqua" w:hAnsi="Book Antiqua" w:cstheme="minorHAnsi"/>
          <w:color w:val="000000" w:themeColor="text1"/>
          <w:sz w:val="24"/>
          <w:szCs w:val="24"/>
        </w:rPr>
        <w:t>’</w:t>
      </w:r>
      <w:r w:rsidR="00BA693A" w:rsidRPr="003922C5">
        <w:rPr>
          <w:rStyle w:val="FootnoteReference"/>
          <w:rFonts w:ascii="Book Antiqua" w:hAnsi="Book Antiqua" w:cstheme="minorHAnsi"/>
          <w:color w:val="000000" w:themeColor="text1"/>
          <w:sz w:val="24"/>
          <w:szCs w:val="24"/>
        </w:rPr>
        <w:footnoteReference w:id="22"/>
      </w:r>
      <w:r w:rsidR="00BA693A" w:rsidRPr="003922C5">
        <w:rPr>
          <w:rFonts w:ascii="Book Antiqua" w:hAnsi="Book Antiqua" w:cstheme="minorHAnsi"/>
          <w:color w:val="000000" w:themeColor="text1"/>
          <w:sz w:val="24"/>
          <w:szCs w:val="24"/>
        </w:rPr>
        <w:t xml:space="preserve"> </w:t>
      </w:r>
      <w:r w:rsidR="003E2403" w:rsidRPr="003922C5">
        <w:rPr>
          <w:rFonts w:ascii="Book Antiqua" w:hAnsi="Book Antiqua" w:cstheme="minorHAnsi"/>
          <w:color w:val="000000" w:themeColor="text1"/>
          <w:sz w:val="24"/>
          <w:szCs w:val="24"/>
        </w:rPr>
        <w:t xml:space="preserve"> </w:t>
      </w:r>
    </w:p>
    <w:p w14:paraId="1E4944BF" w14:textId="77777777" w:rsidR="002F4056" w:rsidRPr="002F4056" w:rsidRDefault="002F4056" w:rsidP="002F4056">
      <w:pPr>
        <w:pStyle w:val="ListParagraph"/>
        <w:rPr>
          <w:rFonts w:ascii="Book Antiqua" w:hAnsi="Book Antiqua" w:cstheme="minorHAnsi"/>
          <w:color w:val="000000" w:themeColor="text1"/>
          <w:sz w:val="24"/>
          <w:szCs w:val="24"/>
        </w:rPr>
      </w:pPr>
    </w:p>
    <w:p w14:paraId="4409F195" w14:textId="4C70DDA4" w:rsidR="007A07CA" w:rsidRDefault="000B68F0" w:rsidP="007A07CA">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sidRPr="002F4056">
        <w:rPr>
          <w:rFonts w:ascii="Book Antiqua" w:hAnsi="Book Antiqua" w:cstheme="minorHAnsi"/>
          <w:color w:val="000000" w:themeColor="text1"/>
          <w:sz w:val="24"/>
          <w:szCs w:val="24"/>
        </w:rPr>
        <w:t>These provisions of IH</w:t>
      </w:r>
      <w:r w:rsidR="000874DF" w:rsidRPr="002F4056">
        <w:rPr>
          <w:rFonts w:ascii="Book Antiqua" w:hAnsi="Book Antiqua" w:cstheme="minorHAnsi"/>
          <w:color w:val="000000" w:themeColor="text1"/>
          <w:sz w:val="24"/>
          <w:szCs w:val="24"/>
        </w:rPr>
        <w:t xml:space="preserve">L </w:t>
      </w:r>
      <w:r w:rsidRPr="002F4056">
        <w:rPr>
          <w:rFonts w:ascii="Book Antiqua" w:hAnsi="Book Antiqua" w:cstheme="minorHAnsi"/>
          <w:color w:val="000000" w:themeColor="text1"/>
          <w:sz w:val="24"/>
          <w:szCs w:val="24"/>
        </w:rPr>
        <w:t xml:space="preserve">itemise particular </w:t>
      </w:r>
      <w:r w:rsidR="007A4E1C" w:rsidRPr="002F4056">
        <w:rPr>
          <w:rFonts w:ascii="Book Antiqua" w:hAnsi="Book Antiqua" w:cstheme="minorHAnsi"/>
          <w:color w:val="000000" w:themeColor="text1"/>
          <w:sz w:val="24"/>
          <w:szCs w:val="24"/>
        </w:rPr>
        <w:t xml:space="preserve">forms </w:t>
      </w:r>
      <w:r w:rsidRPr="002F4056">
        <w:rPr>
          <w:rFonts w:ascii="Book Antiqua" w:hAnsi="Book Antiqua" w:cstheme="minorHAnsi"/>
          <w:color w:val="000000" w:themeColor="text1"/>
          <w:sz w:val="24"/>
          <w:szCs w:val="24"/>
        </w:rPr>
        <w:t xml:space="preserve">of sexual violence </w:t>
      </w:r>
      <w:r w:rsidR="00AD44E9" w:rsidRPr="002F4056">
        <w:rPr>
          <w:rFonts w:ascii="Book Antiqua" w:hAnsi="Book Antiqua" w:cstheme="minorHAnsi"/>
          <w:color w:val="000000" w:themeColor="text1"/>
          <w:sz w:val="24"/>
          <w:szCs w:val="24"/>
        </w:rPr>
        <w:t xml:space="preserve">– rape, enforced prostitution - </w:t>
      </w:r>
      <w:r w:rsidRPr="002F4056">
        <w:rPr>
          <w:rFonts w:ascii="Book Antiqua" w:hAnsi="Book Antiqua" w:cstheme="minorHAnsi"/>
          <w:color w:val="000000" w:themeColor="text1"/>
          <w:sz w:val="24"/>
          <w:szCs w:val="24"/>
        </w:rPr>
        <w:t xml:space="preserve">and assume them to be committed primarily against women. More recently these and other crimes have been conceptualised as gender crimes, most particularly as gender-based violence. The first definition of gender-based violence came within human rights law, from the Committee on Elimination of Discrimination against Women. In 1992 the Committee defined gender-based violence as a form of discrimination coming within article 1 of CEDAW. It is violence that </w:t>
      </w:r>
      <w:r w:rsidRPr="002F4056">
        <w:rPr>
          <w:rFonts w:ascii="Book Antiqua" w:hAnsi="Book Antiqua"/>
          <w:color w:val="000000" w:themeColor="text1"/>
          <w:sz w:val="24"/>
          <w:szCs w:val="24"/>
        </w:rPr>
        <w:t xml:space="preserve">is </w:t>
      </w:r>
      <w:r w:rsidR="007A4E1C" w:rsidRPr="002F4056">
        <w:rPr>
          <w:rFonts w:ascii="Book Antiqua" w:hAnsi="Book Antiqua"/>
          <w:color w:val="000000" w:themeColor="text1"/>
          <w:sz w:val="24"/>
          <w:szCs w:val="24"/>
        </w:rPr>
        <w:t>“</w:t>
      </w:r>
      <w:r w:rsidRPr="002F4056">
        <w:rPr>
          <w:rFonts w:ascii="Book Antiqua" w:hAnsi="Book Antiqua"/>
          <w:color w:val="000000" w:themeColor="text1"/>
          <w:sz w:val="24"/>
          <w:szCs w:val="24"/>
        </w:rPr>
        <w:t>directed against a woman because she is a woman or that affects women disproportionately. It includes acts that inflict physical, mental or sexual harm or suffering, threats of such acts</w:t>
      </w:r>
      <w:r w:rsidR="00203C91">
        <w:rPr>
          <w:rFonts w:ascii="Book Antiqua" w:hAnsi="Book Antiqua"/>
          <w:color w:val="000000" w:themeColor="text1"/>
          <w:sz w:val="24"/>
          <w:szCs w:val="24"/>
        </w:rPr>
        <w:t>.</w:t>
      </w:r>
      <w:r w:rsidR="007A4E1C" w:rsidRPr="002F4056">
        <w:rPr>
          <w:rFonts w:ascii="Book Antiqua" w:hAnsi="Book Antiqua" w:cstheme="minorHAnsi"/>
          <w:color w:val="000000" w:themeColor="text1"/>
          <w:sz w:val="24"/>
          <w:szCs w:val="24"/>
        </w:rPr>
        <w:t>”</w:t>
      </w:r>
    </w:p>
    <w:p w14:paraId="4C85B87F" w14:textId="77777777" w:rsidR="007A07CA" w:rsidRPr="007A07CA" w:rsidRDefault="007A07CA" w:rsidP="007A07CA">
      <w:pPr>
        <w:pStyle w:val="ListParagraph"/>
        <w:rPr>
          <w:rFonts w:ascii="Book Antiqua" w:hAnsi="Book Antiqua" w:cstheme="minorHAnsi"/>
          <w:color w:val="000000" w:themeColor="text1"/>
          <w:sz w:val="24"/>
          <w:szCs w:val="24"/>
        </w:rPr>
      </w:pPr>
    </w:p>
    <w:p w14:paraId="4AC57334" w14:textId="77777777" w:rsidR="00DF6ADD" w:rsidRPr="00DF6ADD" w:rsidRDefault="00E54465" w:rsidP="00DF6ADD">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sidRPr="007A07CA">
        <w:rPr>
          <w:rFonts w:ascii="Book Antiqua" w:hAnsi="Book Antiqua" w:cstheme="minorHAnsi"/>
          <w:color w:val="000000" w:themeColor="text1"/>
          <w:sz w:val="24"/>
          <w:szCs w:val="24"/>
        </w:rPr>
        <w:t>Other bodies have reiterated this understanding of gender-based violence</w:t>
      </w:r>
      <w:r w:rsidR="005F2C97" w:rsidRPr="007A07CA">
        <w:rPr>
          <w:rFonts w:ascii="Book Antiqua" w:hAnsi="Book Antiqua" w:cstheme="minorHAnsi"/>
          <w:color w:val="000000" w:themeColor="text1"/>
          <w:sz w:val="24"/>
          <w:szCs w:val="24"/>
        </w:rPr>
        <w:t>.</w:t>
      </w:r>
      <w:r w:rsidRPr="003922C5">
        <w:rPr>
          <w:rStyle w:val="FootnoteReference"/>
          <w:rFonts w:ascii="Book Antiqua" w:hAnsi="Book Antiqua" w:cstheme="minorHAnsi"/>
          <w:color w:val="000000" w:themeColor="text1"/>
          <w:sz w:val="24"/>
          <w:szCs w:val="24"/>
        </w:rPr>
        <w:footnoteReference w:id="23"/>
      </w:r>
      <w:r w:rsidRPr="007A07CA">
        <w:rPr>
          <w:rFonts w:ascii="Book Antiqua" w:hAnsi="Book Antiqua" w:cstheme="minorHAnsi"/>
          <w:color w:val="000000" w:themeColor="text1"/>
          <w:sz w:val="24"/>
          <w:szCs w:val="24"/>
        </w:rPr>
        <w:t xml:space="preserve"> </w:t>
      </w:r>
      <w:r w:rsidR="005F2C97" w:rsidRPr="007A07CA">
        <w:rPr>
          <w:rFonts w:ascii="Book Antiqua" w:hAnsi="Book Antiqua" w:cstheme="minorHAnsi"/>
          <w:color w:val="000000" w:themeColor="text1"/>
          <w:sz w:val="24"/>
          <w:szCs w:val="24"/>
        </w:rPr>
        <w:t>The definition wa</w:t>
      </w:r>
      <w:r w:rsidRPr="007A07CA">
        <w:rPr>
          <w:rFonts w:ascii="Book Antiqua" w:hAnsi="Book Antiqua" w:cstheme="minorHAnsi"/>
          <w:color w:val="000000" w:themeColor="text1"/>
          <w:sz w:val="24"/>
          <w:szCs w:val="24"/>
        </w:rPr>
        <w:t xml:space="preserve">s </w:t>
      </w:r>
      <w:r w:rsidR="000B68F0" w:rsidRPr="007A07CA">
        <w:rPr>
          <w:rFonts w:ascii="Book Antiqua" w:hAnsi="Book Antiqua" w:cstheme="minorHAnsi"/>
          <w:color w:val="000000" w:themeColor="text1"/>
          <w:sz w:val="24"/>
          <w:szCs w:val="24"/>
        </w:rPr>
        <w:t xml:space="preserve">reaffirmed </w:t>
      </w:r>
      <w:r w:rsidRPr="007A07CA">
        <w:rPr>
          <w:rFonts w:ascii="Book Antiqua" w:hAnsi="Book Antiqua" w:cstheme="minorHAnsi"/>
          <w:color w:val="000000" w:themeColor="text1"/>
          <w:sz w:val="24"/>
          <w:szCs w:val="24"/>
        </w:rPr>
        <w:t xml:space="preserve">by the CEDAW Committee </w:t>
      </w:r>
      <w:r w:rsidR="000B68F0" w:rsidRPr="007A07CA">
        <w:rPr>
          <w:rFonts w:ascii="Book Antiqua" w:hAnsi="Book Antiqua" w:cstheme="minorHAnsi"/>
          <w:color w:val="000000" w:themeColor="text1"/>
          <w:sz w:val="24"/>
          <w:szCs w:val="24"/>
        </w:rPr>
        <w:t>in 2017</w:t>
      </w:r>
      <w:r w:rsidR="005F2C97" w:rsidRPr="007A07CA">
        <w:rPr>
          <w:rFonts w:ascii="Book Antiqua" w:hAnsi="Book Antiqua" w:cstheme="minorHAnsi"/>
          <w:color w:val="000000" w:themeColor="text1"/>
          <w:sz w:val="24"/>
          <w:szCs w:val="24"/>
        </w:rPr>
        <w:t xml:space="preserve"> when it a</w:t>
      </w:r>
      <w:r w:rsidRPr="007A07CA">
        <w:rPr>
          <w:rFonts w:ascii="Book Antiqua" w:hAnsi="Book Antiqua" w:cstheme="minorHAnsi"/>
          <w:color w:val="000000" w:themeColor="text1"/>
          <w:sz w:val="24"/>
          <w:szCs w:val="24"/>
        </w:rPr>
        <w:t xml:space="preserve">lso </w:t>
      </w:r>
      <w:r w:rsidR="007A4E1C" w:rsidRPr="007A07CA">
        <w:rPr>
          <w:rFonts w:ascii="Book Antiqua" w:hAnsi="Book Antiqua" w:cstheme="minorHAnsi"/>
          <w:color w:val="000000" w:themeColor="text1"/>
          <w:sz w:val="24"/>
          <w:szCs w:val="24"/>
        </w:rPr>
        <w:t xml:space="preserve">confirmed </w:t>
      </w:r>
      <w:r w:rsidRPr="007A07CA">
        <w:rPr>
          <w:rFonts w:ascii="Book Antiqua" w:hAnsi="Book Antiqua" w:cstheme="minorHAnsi"/>
          <w:color w:val="000000" w:themeColor="text1"/>
          <w:sz w:val="24"/>
          <w:szCs w:val="24"/>
        </w:rPr>
        <w:t xml:space="preserve">its view </w:t>
      </w:r>
      <w:r w:rsidR="00B732B1" w:rsidRPr="007A07CA">
        <w:rPr>
          <w:rFonts w:ascii="Book Antiqua" w:hAnsi="Book Antiqua"/>
          <w:color w:val="000000" w:themeColor="text1"/>
          <w:sz w:val="24"/>
          <w:szCs w:val="24"/>
        </w:rPr>
        <w:t xml:space="preserve">that </w:t>
      </w:r>
      <w:proofErr w:type="spellStart"/>
      <w:r w:rsidR="00B732B1" w:rsidRPr="007A07CA">
        <w:rPr>
          <w:rFonts w:ascii="Book Antiqua" w:hAnsi="Book Antiqua"/>
          <w:i/>
          <w:color w:val="000000" w:themeColor="text1"/>
          <w:sz w:val="24"/>
          <w:szCs w:val="24"/>
        </w:rPr>
        <w:t>opinio</w:t>
      </w:r>
      <w:proofErr w:type="spellEnd"/>
      <w:r w:rsidR="00B732B1" w:rsidRPr="007A07CA">
        <w:rPr>
          <w:rFonts w:ascii="Book Antiqua" w:hAnsi="Book Antiqua"/>
          <w:i/>
          <w:color w:val="000000" w:themeColor="text1"/>
          <w:sz w:val="24"/>
          <w:szCs w:val="24"/>
        </w:rPr>
        <w:t xml:space="preserve"> juris</w:t>
      </w:r>
      <w:r w:rsidR="00B732B1" w:rsidRPr="007A07CA">
        <w:rPr>
          <w:rFonts w:ascii="Book Antiqua" w:hAnsi="Book Antiqua"/>
          <w:color w:val="000000" w:themeColor="text1"/>
          <w:sz w:val="24"/>
          <w:szCs w:val="24"/>
        </w:rPr>
        <w:t xml:space="preserve"> and state practice demonstrate that the prohibition of gender-based violence against women has evolved into a principle of customary international law</w:t>
      </w:r>
      <w:r w:rsidR="007A4E1C" w:rsidRPr="007A07CA">
        <w:rPr>
          <w:rFonts w:ascii="Book Antiqua" w:hAnsi="Book Antiqua"/>
          <w:color w:val="000000" w:themeColor="text1"/>
          <w:sz w:val="24"/>
          <w:szCs w:val="24"/>
        </w:rPr>
        <w:t>.”</w:t>
      </w:r>
      <w:r w:rsidR="007A4E1C" w:rsidRPr="003922C5">
        <w:rPr>
          <w:rStyle w:val="FootnoteReference"/>
          <w:rFonts w:ascii="Book Antiqua" w:hAnsi="Book Antiqua"/>
          <w:color w:val="000000" w:themeColor="text1"/>
          <w:sz w:val="24"/>
          <w:szCs w:val="24"/>
        </w:rPr>
        <w:footnoteReference w:id="24"/>
      </w:r>
      <w:r w:rsidR="007A4E1C" w:rsidRPr="007A07CA">
        <w:rPr>
          <w:rFonts w:ascii="Book Antiqua" w:hAnsi="Book Antiqua"/>
          <w:color w:val="000000" w:themeColor="text1"/>
          <w:sz w:val="24"/>
          <w:szCs w:val="24"/>
        </w:rPr>
        <w:t xml:space="preserve"> In practice this means that it is binding on all states whether they have signed up to CEDAW or not.</w:t>
      </w:r>
      <w:r w:rsidR="007A4E1C" w:rsidRPr="003922C5">
        <w:rPr>
          <w:rStyle w:val="FootnoteReference"/>
          <w:rFonts w:ascii="Book Antiqua" w:hAnsi="Book Antiqua"/>
          <w:color w:val="000000" w:themeColor="text1"/>
          <w:sz w:val="24"/>
          <w:szCs w:val="24"/>
        </w:rPr>
        <w:footnoteReference w:id="25"/>
      </w:r>
      <w:r w:rsidR="007A4E1C" w:rsidRPr="007A07CA">
        <w:rPr>
          <w:rFonts w:ascii="Book Antiqua" w:hAnsi="Book Antiqua"/>
          <w:color w:val="000000" w:themeColor="text1"/>
          <w:sz w:val="24"/>
          <w:szCs w:val="24"/>
        </w:rPr>
        <w:t xml:space="preserve"> </w:t>
      </w:r>
    </w:p>
    <w:p w14:paraId="13E16C1B" w14:textId="77777777" w:rsidR="00DF6ADD" w:rsidRPr="00DF6ADD" w:rsidRDefault="00DF6ADD" w:rsidP="00DF6ADD">
      <w:pPr>
        <w:pStyle w:val="ListParagraph"/>
        <w:rPr>
          <w:rFonts w:ascii="Book Antiqua" w:hAnsi="Book Antiqua" w:cstheme="minorHAnsi"/>
          <w:color w:val="000000" w:themeColor="text1"/>
          <w:sz w:val="24"/>
          <w:szCs w:val="24"/>
        </w:rPr>
      </w:pPr>
    </w:p>
    <w:p w14:paraId="16AC9A70" w14:textId="77777777" w:rsidR="006134A3" w:rsidRDefault="000874DF" w:rsidP="006134A3">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sidRPr="00DF6ADD">
        <w:rPr>
          <w:rFonts w:ascii="Book Antiqua" w:hAnsi="Book Antiqua" w:cstheme="minorHAnsi"/>
          <w:color w:val="000000" w:themeColor="text1"/>
          <w:sz w:val="24"/>
          <w:szCs w:val="24"/>
        </w:rPr>
        <w:t xml:space="preserve">Gender-based </w:t>
      </w:r>
      <w:r w:rsidR="005F2C97" w:rsidRPr="00DF6ADD">
        <w:rPr>
          <w:rFonts w:ascii="Book Antiqua" w:hAnsi="Book Antiqua" w:cstheme="minorHAnsi"/>
          <w:color w:val="000000" w:themeColor="text1"/>
          <w:sz w:val="24"/>
          <w:szCs w:val="24"/>
        </w:rPr>
        <w:t xml:space="preserve">and sexual </w:t>
      </w:r>
      <w:r w:rsidRPr="00DF6ADD">
        <w:rPr>
          <w:rFonts w:ascii="Book Antiqua" w:hAnsi="Book Antiqua" w:cstheme="minorHAnsi"/>
          <w:color w:val="000000" w:themeColor="text1"/>
          <w:sz w:val="24"/>
          <w:szCs w:val="24"/>
        </w:rPr>
        <w:t xml:space="preserve">violence </w:t>
      </w:r>
      <w:r w:rsidR="005F2C97" w:rsidRPr="00DF6ADD">
        <w:rPr>
          <w:rFonts w:ascii="Book Antiqua" w:hAnsi="Book Antiqua" w:cstheme="minorHAnsi"/>
          <w:color w:val="000000" w:themeColor="text1"/>
          <w:sz w:val="24"/>
          <w:szCs w:val="24"/>
        </w:rPr>
        <w:t>are</w:t>
      </w:r>
      <w:r w:rsidRPr="00DF6ADD">
        <w:rPr>
          <w:rFonts w:ascii="Book Antiqua" w:hAnsi="Book Antiqua" w:cstheme="minorHAnsi"/>
          <w:color w:val="000000" w:themeColor="text1"/>
          <w:sz w:val="24"/>
          <w:szCs w:val="24"/>
        </w:rPr>
        <w:t xml:space="preserve"> committed in times of so-called peacetime and in armed conflict.  </w:t>
      </w:r>
      <w:r w:rsidR="00E86F72" w:rsidRPr="00DF6ADD">
        <w:rPr>
          <w:rFonts w:ascii="Book Antiqua" w:hAnsi="Book Antiqua" w:cstheme="minorHAnsi"/>
          <w:color w:val="000000" w:themeColor="text1"/>
          <w:sz w:val="24"/>
          <w:szCs w:val="24"/>
        </w:rPr>
        <w:t>T</w:t>
      </w:r>
      <w:r w:rsidRPr="00DF6ADD">
        <w:rPr>
          <w:rFonts w:ascii="Book Antiqua" w:hAnsi="Book Antiqua" w:cstheme="minorHAnsi"/>
          <w:color w:val="000000" w:themeColor="text1"/>
          <w:sz w:val="24"/>
          <w:szCs w:val="24"/>
        </w:rPr>
        <w:t xml:space="preserve">he CEDAW Committee </w:t>
      </w:r>
      <w:r w:rsidR="00E86F72" w:rsidRPr="00DF6ADD">
        <w:rPr>
          <w:rFonts w:ascii="Book Antiqua" w:hAnsi="Book Antiqua" w:cstheme="minorHAnsi"/>
          <w:color w:val="000000" w:themeColor="text1"/>
          <w:sz w:val="24"/>
          <w:szCs w:val="24"/>
        </w:rPr>
        <w:t xml:space="preserve">has </w:t>
      </w:r>
      <w:r w:rsidRPr="00DF6ADD">
        <w:rPr>
          <w:rFonts w:ascii="Book Antiqua" w:hAnsi="Book Antiqua" w:cstheme="minorHAnsi"/>
          <w:color w:val="000000" w:themeColor="text1"/>
          <w:sz w:val="24"/>
          <w:szCs w:val="24"/>
        </w:rPr>
        <w:t xml:space="preserve">recognised that </w:t>
      </w:r>
      <w:r w:rsidR="00317A2D">
        <w:rPr>
          <w:rFonts w:ascii="Book Antiqua" w:hAnsi="Book Antiqua" w:cstheme="minorHAnsi"/>
          <w:color w:val="000000" w:themeColor="text1"/>
          <w:sz w:val="24"/>
          <w:szCs w:val="24"/>
        </w:rPr>
        <w:t>‘</w:t>
      </w:r>
      <w:r w:rsidR="00E86F72" w:rsidRPr="00DF6ADD">
        <w:rPr>
          <w:rFonts w:ascii="Book Antiqua" w:hAnsi="Book Antiqua"/>
          <w:color w:val="000000" w:themeColor="text1"/>
          <w:sz w:val="24"/>
          <w:szCs w:val="24"/>
        </w:rPr>
        <w:t>wa</w:t>
      </w:r>
      <w:r w:rsidRPr="00DF6ADD">
        <w:rPr>
          <w:rFonts w:ascii="Book Antiqua" w:hAnsi="Book Antiqua"/>
          <w:color w:val="000000" w:themeColor="text1"/>
          <w:sz w:val="24"/>
          <w:szCs w:val="24"/>
        </w:rPr>
        <w:t>rs, armed conflicts and the occupation of territories often lead to increased prostitution, trafficking in women and sexual assault of women, which require specific protective and punitive measures.</w:t>
      </w:r>
      <w:r w:rsidR="00317A2D">
        <w:rPr>
          <w:rFonts w:ascii="Book Antiqua" w:hAnsi="Book Antiqua"/>
          <w:color w:val="000000" w:themeColor="text1"/>
          <w:sz w:val="24"/>
          <w:szCs w:val="24"/>
        </w:rPr>
        <w:t>’</w:t>
      </w:r>
      <w:r w:rsidR="00317A2D">
        <w:rPr>
          <w:rStyle w:val="FootnoteReference"/>
          <w:rFonts w:ascii="Book Antiqua" w:hAnsi="Book Antiqua"/>
          <w:color w:val="000000" w:themeColor="text1"/>
          <w:sz w:val="24"/>
          <w:szCs w:val="24"/>
        </w:rPr>
        <w:footnoteReference w:id="26"/>
      </w:r>
      <w:r w:rsidRPr="00DF6ADD">
        <w:rPr>
          <w:rFonts w:ascii="Book Antiqua" w:hAnsi="Book Antiqua"/>
          <w:color w:val="000000" w:themeColor="text1"/>
          <w:sz w:val="24"/>
          <w:szCs w:val="24"/>
        </w:rPr>
        <w:t xml:space="preserve"> Such measures should thus be taken under both IHL and human rights law. This was recognised the following year when t</w:t>
      </w:r>
      <w:r w:rsidR="00204E9B" w:rsidRPr="00DF6ADD">
        <w:rPr>
          <w:rFonts w:ascii="Book Antiqua" w:hAnsi="Book Antiqua" w:cstheme="minorHAnsi"/>
          <w:color w:val="000000" w:themeColor="text1"/>
          <w:sz w:val="24"/>
          <w:szCs w:val="24"/>
        </w:rPr>
        <w:t>he 1993 World Conference on Human Rights declared that ‘violations of the human rights of women in situations of armed conflict are violations of the fundamental principles of international human rights and humanitarian law’.</w:t>
      </w:r>
      <w:r w:rsidR="00204E9B" w:rsidRPr="003922C5">
        <w:rPr>
          <w:rStyle w:val="FootnoteReference"/>
          <w:rFonts w:ascii="Book Antiqua" w:hAnsi="Book Antiqua" w:cstheme="minorHAnsi"/>
          <w:color w:val="000000" w:themeColor="text1"/>
          <w:sz w:val="24"/>
          <w:szCs w:val="24"/>
        </w:rPr>
        <w:footnoteReference w:id="27"/>
      </w:r>
      <w:r w:rsidR="00204E9B" w:rsidRPr="00DF6ADD">
        <w:rPr>
          <w:rFonts w:ascii="Book Antiqua" w:hAnsi="Book Antiqua" w:cstheme="minorHAnsi"/>
          <w:color w:val="000000" w:themeColor="text1"/>
          <w:sz w:val="24"/>
          <w:szCs w:val="24"/>
        </w:rPr>
        <w:t xml:space="preserve"> </w:t>
      </w:r>
    </w:p>
    <w:p w14:paraId="76AD749B" w14:textId="77777777" w:rsidR="006134A3" w:rsidRPr="006134A3" w:rsidRDefault="006134A3" w:rsidP="006134A3">
      <w:pPr>
        <w:pStyle w:val="ListParagraph"/>
        <w:rPr>
          <w:rFonts w:ascii="Book Antiqua" w:hAnsi="Book Antiqua" w:cstheme="minorHAnsi"/>
          <w:color w:val="000000" w:themeColor="text1"/>
          <w:sz w:val="24"/>
          <w:szCs w:val="24"/>
        </w:rPr>
      </w:pPr>
    </w:p>
    <w:p w14:paraId="6872C2DB" w14:textId="77777777" w:rsidR="006134A3" w:rsidRDefault="00F6273F" w:rsidP="006134A3">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sidRPr="006134A3">
        <w:rPr>
          <w:rFonts w:ascii="Book Antiqua" w:hAnsi="Book Antiqua" w:cstheme="minorHAnsi"/>
          <w:color w:val="000000" w:themeColor="text1"/>
          <w:sz w:val="24"/>
          <w:szCs w:val="24"/>
        </w:rPr>
        <w:t>T</w:t>
      </w:r>
      <w:r w:rsidR="00204E9B" w:rsidRPr="006134A3">
        <w:rPr>
          <w:rFonts w:ascii="Book Antiqua" w:hAnsi="Book Antiqua" w:cstheme="minorHAnsi"/>
          <w:color w:val="000000" w:themeColor="text1"/>
          <w:sz w:val="24"/>
          <w:szCs w:val="24"/>
        </w:rPr>
        <w:t>he Fourth World Conference on Women</w:t>
      </w:r>
      <w:r w:rsidRPr="006134A3">
        <w:rPr>
          <w:rFonts w:ascii="Book Antiqua" w:hAnsi="Book Antiqua" w:cstheme="minorHAnsi"/>
          <w:color w:val="000000" w:themeColor="text1"/>
          <w:sz w:val="24"/>
          <w:szCs w:val="24"/>
        </w:rPr>
        <w:t xml:space="preserve"> </w:t>
      </w:r>
      <w:r w:rsidR="000874DF" w:rsidRPr="006134A3">
        <w:rPr>
          <w:rFonts w:ascii="Book Antiqua" w:hAnsi="Book Antiqua" w:cstheme="minorHAnsi"/>
          <w:color w:val="000000" w:themeColor="text1"/>
          <w:sz w:val="24"/>
          <w:szCs w:val="24"/>
        </w:rPr>
        <w:t>in 1995 similarly declared</w:t>
      </w:r>
      <w:r w:rsidRPr="006134A3">
        <w:rPr>
          <w:rFonts w:ascii="Book Antiqua" w:hAnsi="Book Antiqua" w:cstheme="minorHAnsi"/>
          <w:color w:val="000000" w:themeColor="text1"/>
          <w:sz w:val="24"/>
          <w:szCs w:val="24"/>
        </w:rPr>
        <w:t xml:space="preserve"> asserted that</w:t>
      </w:r>
      <w:r w:rsidR="00204E9B" w:rsidRPr="006134A3">
        <w:rPr>
          <w:rFonts w:ascii="Book Antiqua" w:hAnsi="Book Antiqua" w:cstheme="minorHAnsi"/>
          <w:color w:val="000000" w:themeColor="text1"/>
          <w:sz w:val="24"/>
          <w:szCs w:val="24"/>
        </w:rPr>
        <w:t xml:space="preserve"> ‘acts of violence against women include violation of the human rights of women in situations of armed conflict, in particular murder, systematic rape, sexual slavery and forced pregnancy.’</w:t>
      </w:r>
      <w:r w:rsidR="00204E9B" w:rsidRPr="003922C5">
        <w:rPr>
          <w:rStyle w:val="FootnoteReference"/>
          <w:rFonts w:ascii="Book Antiqua" w:hAnsi="Book Antiqua" w:cstheme="minorHAnsi"/>
          <w:color w:val="000000" w:themeColor="text1"/>
          <w:sz w:val="24"/>
          <w:szCs w:val="24"/>
        </w:rPr>
        <w:footnoteReference w:id="28"/>
      </w:r>
      <w:r w:rsidR="00E86F72" w:rsidRPr="006134A3">
        <w:rPr>
          <w:rFonts w:ascii="Book Antiqua" w:hAnsi="Book Antiqua" w:cstheme="minorHAnsi"/>
          <w:color w:val="000000" w:themeColor="text1"/>
          <w:sz w:val="24"/>
          <w:szCs w:val="24"/>
        </w:rPr>
        <w:t xml:space="preserve"> </w:t>
      </w:r>
    </w:p>
    <w:p w14:paraId="15AA4372" w14:textId="77777777" w:rsidR="006134A3" w:rsidRPr="006134A3" w:rsidRDefault="006134A3" w:rsidP="006134A3">
      <w:pPr>
        <w:pStyle w:val="ListParagraph"/>
        <w:rPr>
          <w:rFonts w:ascii="Book Antiqua" w:hAnsi="Book Antiqua" w:cstheme="minorHAnsi"/>
          <w:color w:val="000000" w:themeColor="text1"/>
          <w:sz w:val="24"/>
          <w:szCs w:val="24"/>
        </w:rPr>
      </w:pPr>
    </w:p>
    <w:p w14:paraId="39076644" w14:textId="77777777" w:rsidR="00206675" w:rsidRPr="00206675" w:rsidRDefault="00F578B9" w:rsidP="006134A3">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sidRPr="006134A3">
        <w:rPr>
          <w:rFonts w:ascii="Book Antiqua" w:hAnsi="Book Antiqua" w:cstheme="minorHAnsi"/>
          <w:color w:val="000000" w:themeColor="text1"/>
          <w:sz w:val="24"/>
          <w:szCs w:val="24"/>
        </w:rPr>
        <w:t>The CEDAW Committee has clarified</w:t>
      </w:r>
      <w:r w:rsidR="00E86F72" w:rsidRPr="006134A3">
        <w:rPr>
          <w:rFonts w:ascii="Book Antiqua" w:hAnsi="Book Antiqua" w:cstheme="minorHAnsi"/>
          <w:color w:val="000000" w:themeColor="text1"/>
          <w:sz w:val="24"/>
          <w:szCs w:val="24"/>
        </w:rPr>
        <w:t xml:space="preserve"> those</w:t>
      </w:r>
      <w:r w:rsidR="000874DF" w:rsidRPr="006134A3">
        <w:rPr>
          <w:rFonts w:ascii="Book Antiqua" w:hAnsi="Book Antiqua" w:cstheme="minorHAnsi"/>
          <w:color w:val="000000" w:themeColor="text1"/>
          <w:sz w:val="24"/>
          <w:szCs w:val="24"/>
        </w:rPr>
        <w:t xml:space="preserve"> obligations</w:t>
      </w:r>
      <w:r w:rsidRPr="006134A3">
        <w:rPr>
          <w:rFonts w:ascii="Book Antiqua" w:hAnsi="Book Antiqua" w:cstheme="minorHAnsi"/>
          <w:color w:val="000000" w:themeColor="text1"/>
          <w:sz w:val="24"/>
          <w:szCs w:val="24"/>
        </w:rPr>
        <w:t xml:space="preserve"> with respect to gender-based violence. </w:t>
      </w:r>
      <w:r w:rsidR="00E86F72" w:rsidRPr="006134A3">
        <w:rPr>
          <w:rFonts w:ascii="Book Antiqua" w:hAnsi="Book Antiqua" w:cstheme="minorHAnsi"/>
          <w:color w:val="000000" w:themeColor="text1"/>
          <w:sz w:val="24"/>
          <w:szCs w:val="24"/>
        </w:rPr>
        <w:t xml:space="preserve">As a form of discrimination </w:t>
      </w:r>
      <w:r w:rsidRPr="006134A3">
        <w:rPr>
          <w:rFonts w:ascii="Book Antiqua" w:hAnsi="Book Antiqua"/>
          <w:color w:val="000000" w:themeColor="text1"/>
          <w:sz w:val="24"/>
          <w:szCs w:val="24"/>
        </w:rPr>
        <w:t xml:space="preserve">against women under </w:t>
      </w:r>
      <w:r w:rsidR="00E86F72" w:rsidRPr="006134A3">
        <w:rPr>
          <w:rFonts w:ascii="Book Antiqua" w:hAnsi="Book Antiqua"/>
          <w:color w:val="000000" w:themeColor="text1"/>
          <w:sz w:val="24"/>
          <w:szCs w:val="24"/>
        </w:rPr>
        <w:t xml:space="preserve">CEDAW </w:t>
      </w:r>
      <w:r w:rsidRPr="006134A3">
        <w:rPr>
          <w:rFonts w:ascii="Book Antiqua" w:hAnsi="Book Antiqua"/>
          <w:color w:val="000000" w:themeColor="text1"/>
          <w:sz w:val="24"/>
          <w:szCs w:val="24"/>
        </w:rPr>
        <w:t xml:space="preserve">article 1 </w:t>
      </w:r>
      <w:r w:rsidR="00DF45FF" w:rsidRPr="006134A3">
        <w:rPr>
          <w:rFonts w:ascii="Book Antiqua" w:hAnsi="Book Antiqua"/>
          <w:color w:val="000000" w:themeColor="text1"/>
          <w:sz w:val="24"/>
          <w:szCs w:val="24"/>
        </w:rPr>
        <w:t xml:space="preserve">all states’ </w:t>
      </w:r>
      <w:r w:rsidRPr="006134A3">
        <w:rPr>
          <w:rFonts w:ascii="Book Antiqua" w:hAnsi="Book Antiqua"/>
          <w:color w:val="000000" w:themeColor="text1"/>
          <w:sz w:val="24"/>
          <w:szCs w:val="24"/>
        </w:rPr>
        <w:t>obligations under the Convention</w:t>
      </w:r>
      <w:r w:rsidR="00DF45FF" w:rsidRPr="006134A3">
        <w:rPr>
          <w:rFonts w:ascii="Book Antiqua" w:hAnsi="Book Antiqua"/>
          <w:color w:val="000000" w:themeColor="text1"/>
          <w:sz w:val="24"/>
          <w:szCs w:val="24"/>
        </w:rPr>
        <w:t xml:space="preserve"> are engaged and the Committee has also clarified that they continue during conflict. There are </w:t>
      </w:r>
      <w:r w:rsidRPr="006134A3">
        <w:rPr>
          <w:rFonts w:ascii="Book Antiqua" w:hAnsi="Book Antiqua"/>
          <w:color w:val="000000" w:themeColor="text1"/>
          <w:sz w:val="24"/>
          <w:szCs w:val="24"/>
        </w:rPr>
        <w:t xml:space="preserve">two aspects of State responsibility for such violence, that which results from the acts or omissions of the State party </w:t>
      </w:r>
      <w:r w:rsidR="00DF45FF" w:rsidRPr="006134A3">
        <w:rPr>
          <w:rFonts w:ascii="Book Antiqua" w:hAnsi="Book Antiqua"/>
          <w:color w:val="000000" w:themeColor="text1"/>
          <w:sz w:val="24"/>
          <w:szCs w:val="24"/>
        </w:rPr>
        <w:t xml:space="preserve">itself, its agents and officials </w:t>
      </w:r>
      <w:r w:rsidRPr="006134A3">
        <w:rPr>
          <w:rFonts w:ascii="Book Antiqua" w:hAnsi="Book Antiqua"/>
          <w:color w:val="000000" w:themeColor="text1"/>
          <w:sz w:val="24"/>
          <w:szCs w:val="24"/>
        </w:rPr>
        <w:t>on the one hand, and non-State actors, on the othe</w:t>
      </w:r>
      <w:r w:rsidR="00DF45FF" w:rsidRPr="006134A3">
        <w:rPr>
          <w:rFonts w:ascii="Book Antiqua" w:hAnsi="Book Antiqua"/>
          <w:color w:val="000000" w:themeColor="text1"/>
          <w:sz w:val="24"/>
          <w:szCs w:val="24"/>
        </w:rPr>
        <w:t xml:space="preserve">r. </w:t>
      </w:r>
    </w:p>
    <w:p w14:paraId="6BEB1ED5" w14:textId="77777777" w:rsidR="00206675" w:rsidRPr="00206675" w:rsidRDefault="00206675" w:rsidP="00206675">
      <w:pPr>
        <w:pStyle w:val="ListParagraph"/>
        <w:rPr>
          <w:rFonts w:ascii="Book Antiqua" w:hAnsi="Book Antiqua"/>
          <w:color w:val="000000" w:themeColor="text1"/>
          <w:sz w:val="24"/>
          <w:szCs w:val="24"/>
        </w:rPr>
      </w:pPr>
    </w:p>
    <w:p w14:paraId="5A6C4B7E" w14:textId="77777777" w:rsidR="00206675" w:rsidRPr="00206675" w:rsidRDefault="00DF45FF" w:rsidP="00206675">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sidRPr="006134A3">
        <w:rPr>
          <w:rFonts w:ascii="Book Antiqua" w:hAnsi="Book Antiqua"/>
          <w:color w:val="000000" w:themeColor="text1"/>
          <w:sz w:val="24"/>
          <w:szCs w:val="24"/>
        </w:rPr>
        <w:t xml:space="preserve">As the offences committed against the </w:t>
      </w:r>
      <w:r w:rsidR="004002F1" w:rsidRPr="006134A3">
        <w:rPr>
          <w:rFonts w:ascii="Book Antiqua" w:hAnsi="Book Antiqua"/>
          <w:color w:val="000000" w:themeColor="text1"/>
          <w:sz w:val="24"/>
          <w:szCs w:val="24"/>
        </w:rPr>
        <w:t>“</w:t>
      </w:r>
      <w:r w:rsidRPr="006134A3">
        <w:rPr>
          <w:rFonts w:ascii="Book Antiqua" w:hAnsi="Book Antiqua"/>
          <w:color w:val="000000" w:themeColor="text1"/>
          <w:sz w:val="24"/>
          <w:szCs w:val="24"/>
        </w:rPr>
        <w:t>comfort women</w:t>
      </w:r>
      <w:r w:rsidR="004002F1" w:rsidRPr="006134A3">
        <w:rPr>
          <w:rFonts w:ascii="Book Antiqua" w:hAnsi="Book Antiqua"/>
          <w:color w:val="000000" w:themeColor="text1"/>
          <w:sz w:val="24"/>
          <w:szCs w:val="24"/>
        </w:rPr>
        <w:t>”</w:t>
      </w:r>
      <w:r w:rsidRPr="006134A3">
        <w:rPr>
          <w:rFonts w:ascii="Book Antiqua" w:hAnsi="Book Antiqua"/>
          <w:color w:val="000000" w:themeColor="text1"/>
          <w:sz w:val="24"/>
          <w:szCs w:val="24"/>
        </w:rPr>
        <w:t xml:space="preserve"> are attributable to Japan only the former </w:t>
      </w:r>
      <w:r w:rsidR="00206675" w:rsidRPr="006134A3">
        <w:rPr>
          <w:rFonts w:ascii="Book Antiqua" w:hAnsi="Book Antiqua"/>
          <w:color w:val="000000" w:themeColor="text1"/>
          <w:sz w:val="24"/>
          <w:szCs w:val="24"/>
        </w:rPr>
        <w:t>is</w:t>
      </w:r>
      <w:r w:rsidRPr="006134A3">
        <w:rPr>
          <w:rFonts w:ascii="Book Antiqua" w:hAnsi="Book Antiqua"/>
          <w:color w:val="000000" w:themeColor="text1"/>
          <w:sz w:val="24"/>
          <w:szCs w:val="24"/>
        </w:rPr>
        <w:t xml:space="preserve"> relevant in this case. </w:t>
      </w:r>
    </w:p>
    <w:p w14:paraId="07990196" w14:textId="77777777" w:rsidR="00206675" w:rsidRPr="00206675" w:rsidRDefault="00206675" w:rsidP="00206675">
      <w:pPr>
        <w:pStyle w:val="ListParagraph"/>
        <w:rPr>
          <w:rFonts w:ascii="Book Antiqua" w:hAnsi="Book Antiqua" w:cstheme="minorHAnsi"/>
          <w:color w:val="000000" w:themeColor="text1"/>
          <w:sz w:val="24"/>
          <w:szCs w:val="24"/>
        </w:rPr>
      </w:pPr>
    </w:p>
    <w:p w14:paraId="29238B1E" w14:textId="77777777" w:rsidR="00454C4E" w:rsidRPr="00454C4E" w:rsidRDefault="004002F1" w:rsidP="00454C4E">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sidRPr="00206675">
        <w:rPr>
          <w:rFonts w:ascii="Book Antiqua" w:hAnsi="Book Antiqua" w:cstheme="minorHAnsi"/>
          <w:color w:val="000000" w:themeColor="text1"/>
          <w:sz w:val="24"/>
          <w:szCs w:val="24"/>
        </w:rPr>
        <w:t xml:space="preserve">Regional human rights bodies have recognised the responsibility of the state for </w:t>
      </w:r>
      <w:r w:rsidR="00237A90" w:rsidRPr="00206675">
        <w:rPr>
          <w:rFonts w:ascii="Book Antiqua" w:hAnsi="Book Antiqua" w:cstheme="minorHAnsi"/>
          <w:color w:val="000000" w:themeColor="text1"/>
          <w:sz w:val="24"/>
          <w:szCs w:val="24"/>
        </w:rPr>
        <w:t xml:space="preserve">rape and </w:t>
      </w:r>
      <w:r w:rsidRPr="00206675">
        <w:rPr>
          <w:rFonts w:ascii="Book Antiqua" w:hAnsi="Book Antiqua" w:cstheme="minorHAnsi"/>
          <w:color w:val="000000" w:themeColor="text1"/>
          <w:sz w:val="24"/>
          <w:szCs w:val="24"/>
        </w:rPr>
        <w:t xml:space="preserve">sexual violence committed by its agents. For instance in </w:t>
      </w:r>
      <w:r w:rsidRPr="00206675">
        <w:rPr>
          <w:rFonts w:ascii="Book Antiqua" w:hAnsi="Book Antiqua" w:cstheme="minorHAnsi"/>
          <w:i/>
          <w:iCs/>
          <w:color w:val="000000" w:themeColor="text1"/>
          <w:sz w:val="24"/>
          <w:szCs w:val="24"/>
        </w:rPr>
        <w:t xml:space="preserve">Aydin v Turkey </w:t>
      </w:r>
      <w:r w:rsidRPr="00206675">
        <w:rPr>
          <w:rFonts w:ascii="Book Antiqua" w:hAnsi="Book Antiqua" w:cstheme="minorHAnsi"/>
          <w:color w:val="000000" w:themeColor="text1"/>
          <w:sz w:val="24"/>
          <w:szCs w:val="24"/>
        </w:rPr>
        <w:t>the European Court of Human Rights found Turkey to have violated  Article 3 of the European Convention on Human Rights (prohibition of torture) for the rape and other ill treatment of a young woman of Kurdish origin by its security forces while she was held in detention.</w:t>
      </w:r>
      <w:r w:rsidR="007319F7" w:rsidRPr="003922C5">
        <w:rPr>
          <w:rStyle w:val="FootnoteReference"/>
          <w:rFonts w:ascii="Book Antiqua" w:hAnsi="Book Antiqua" w:cstheme="minorHAnsi"/>
          <w:color w:val="000000" w:themeColor="text1"/>
          <w:sz w:val="24"/>
          <w:szCs w:val="24"/>
        </w:rPr>
        <w:footnoteReference w:id="29"/>
      </w:r>
      <w:r w:rsidRPr="00206675">
        <w:rPr>
          <w:rFonts w:ascii="Book Antiqua" w:hAnsi="Book Antiqua" w:cstheme="minorHAnsi"/>
          <w:color w:val="000000" w:themeColor="text1"/>
          <w:sz w:val="24"/>
          <w:szCs w:val="24"/>
        </w:rPr>
        <w:t xml:space="preserve"> The Court stressed the </w:t>
      </w:r>
      <w:r w:rsidRPr="00206675">
        <w:rPr>
          <w:rFonts w:ascii="Book Antiqua" w:hAnsi="Book Antiqua"/>
          <w:color w:val="000000" w:themeColor="text1"/>
          <w:sz w:val="24"/>
          <w:szCs w:val="24"/>
        </w:rPr>
        <w:t xml:space="preserve">deep psychological scars caused by rape and the accumulative effect of such treatment while she was detained. </w:t>
      </w:r>
      <w:r w:rsidR="004B0C4F" w:rsidRPr="00206675">
        <w:rPr>
          <w:rFonts w:ascii="Book Antiqua" w:hAnsi="Book Antiqua"/>
          <w:color w:val="000000" w:themeColor="text1"/>
          <w:sz w:val="24"/>
          <w:szCs w:val="24"/>
        </w:rPr>
        <w:t>The Inter-American Court of Human Rights has found rape by s</w:t>
      </w:r>
      <w:r w:rsidR="004474A4" w:rsidRPr="00206675">
        <w:rPr>
          <w:rFonts w:ascii="Book Antiqua" w:hAnsi="Book Antiqua"/>
          <w:color w:val="000000" w:themeColor="text1"/>
          <w:sz w:val="24"/>
          <w:szCs w:val="24"/>
        </w:rPr>
        <w:t xml:space="preserve">tate military forces </w:t>
      </w:r>
      <w:r w:rsidR="004B0C4F" w:rsidRPr="00206675">
        <w:rPr>
          <w:rFonts w:ascii="Book Antiqua" w:hAnsi="Book Antiqua"/>
          <w:color w:val="000000" w:themeColor="text1"/>
          <w:sz w:val="24"/>
          <w:szCs w:val="24"/>
        </w:rPr>
        <w:t>to constitute violations of a range of human rights including rights to personal integrity and dignity and torture.</w:t>
      </w:r>
      <w:r w:rsidR="004B0C4F" w:rsidRPr="003922C5">
        <w:rPr>
          <w:rStyle w:val="FootnoteReference"/>
          <w:rFonts w:ascii="Book Antiqua" w:hAnsi="Book Antiqua"/>
          <w:color w:val="000000" w:themeColor="text1"/>
          <w:sz w:val="24"/>
          <w:szCs w:val="24"/>
        </w:rPr>
        <w:footnoteReference w:id="30"/>
      </w:r>
      <w:r w:rsidR="004B0C4F" w:rsidRPr="00206675">
        <w:rPr>
          <w:rFonts w:ascii="Book Antiqua" w:hAnsi="Book Antiqua"/>
          <w:color w:val="000000" w:themeColor="text1"/>
          <w:sz w:val="24"/>
          <w:szCs w:val="24"/>
        </w:rPr>
        <w:t xml:space="preserve"> The African Commission on Human Rights has also held states to be in violation of their human rights obligations through the act</w:t>
      </w:r>
      <w:r w:rsidR="0059387C" w:rsidRPr="00206675">
        <w:rPr>
          <w:rFonts w:ascii="Book Antiqua" w:hAnsi="Book Antiqua"/>
          <w:color w:val="000000" w:themeColor="text1"/>
          <w:sz w:val="24"/>
          <w:szCs w:val="24"/>
        </w:rPr>
        <w:t>i</w:t>
      </w:r>
      <w:r w:rsidR="004B0C4F" w:rsidRPr="00206675">
        <w:rPr>
          <w:rFonts w:ascii="Book Antiqua" w:hAnsi="Book Antiqua"/>
          <w:color w:val="000000" w:themeColor="text1"/>
          <w:sz w:val="24"/>
          <w:szCs w:val="24"/>
        </w:rPr>
        <w:t>o</w:t>
      </w:r>
      <w:r w:rsidR="0059387C" w:rsidRPr="00206675">
        <w:rPr>
          <w:rFonts w:ascii="Book Antiqua" w:hAnsi="Book Antiqua"/>
          <w:color w:val="000000" w:themeColor="text1"/>
          <w:sz w:val="24"/>
          <w:szCs w:val="24"/>
        </w:rPr>
        <w:t>n</w:t>
      </w:r>
      <w:r w:rsidR="004B0C4F" w:rsidRPr="00206675">
        <w:rPr>
          <w:rFonts w:ascii="Book Antiqua" w:hAnsi="Book Antiqua"/>
          <w:color w:val="000000" w:themeColor="text1"/>
          <w:sz w:val="24"/>
          <w:szCs w:val="24"/>
        </w:rPr>
        <w:t xml:space="preserve">s of </w:t>
      </w:r>
      <w:r w:rsidR="004474A4" w:rsidRPr="00206675">
        <w:rPr>
          <w:rFonts w:ascii="Book Antiqua" w:hAnsi="Book Antiqua"/>
          <w:color w:val="000000" w:themeColor="text1"/>
          <w:sz w:val="24"/>
          <w:szCs w:val="24"/>
        </w:rPr>
        <w:t xml:space="preserve">their </w:t>
      </w:r>
      <w:r w:rsidR="004B0C4F" w:rsidRPr="00206675">
        <w:rPr>
          <w:rFonts w:ascii="Book Antiqua" w:hAnsi="Book Antiqua"/>
          <w:color w:val="000000" w:themeColor="text1"/>
          <w:sz w:val="24"/>
          <w:szCs w:val="24"/>
        </w:rPr>
        <w:t>military forces, including rape and sexual violence.</w:t>
      </w:r>
      <w:r w:rsidR="004B0C4F" w:rsidRPr="003922C5">
        <w:rPr>
          <w:rStyle w:val="FootnoteReference"/>
          <w:rFonts w:ascii="Book Antiqua" w:hAnsi="Book Antiqua"/>
          <w:color w:val="000000" w:themeColor="text1"/>
          <w:sz w:val="24"/>
          <w:szCs w:val="24"/>
        </w:rPr>
        <w:footnoteReference w:id="31"/>
      </w:r>
      <w:r w:rsidR="004B0C4F" w:rsidRPr="00206675">
        <w:rPr>
          <w:rFonts w:ascii="Book Antiqua" w:hAnsi="Book Antiqua"/>
          <w:color w:val="000000" w:themeColor="text1"/>
          <w:sz w:val="24"/>
          <w:szCs w:val="24"/>
        </w:rPr>
        <w:t xml:space="preserve"> </w:t>
      </w:r>
    </w:p>
    <w:p w14:paraId="539CB87E" w14:textId="77777777" w:rsidR="00454C4E" w:rsidRPr="00454C4E" w:rsidRDefault="00454C4E" w:rsidP="00454C4E">
      <w:pPr>
        <w:pStyle w:val="ListParagraph"/>
        <w:rPr>
          <w:rFonts w:ascii="Book Antiqua" w:hAnsi="Book Antiqua" w:cstheme="minorHAnsi"/>
          <w:color w:val="000000" w:themeColor="text1"/>
          <w:sz w:val="24"/>
          <w:szCs w:val="24"/>
        </w:rPr>
      </w:pPr>
    </w:p>
    <w:p w14:paraId="22D7CD3E" w14:textId="49B01BEB" w:rsidR="00454C4E" w:rsidRDefault="000874DF" w:rsidP="00454C4E">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sidRPr="00454C4E">
        <w:rPr>
          <w:rFonts w:ascii="Book Antiqua" w:hAnsi="Book Antiqua" w:cstheme="minorHAnsi"/>
          <w:color w:val="000000" w:themeColor="text1"/>
          <w:sz w:val="24"/>
          <w:szCs w:val="24"/>
        </w:rPr>
        <w:t>The</w:t>
      </w:r>
      <w:r w:rsidR="00F6273F" w:rsidRPr="00454C4E">
        <w:rPr>
          <w:rFonts w:ascii="Book Antiqua" w:hAnsi="Book Antiqua" w:cstheme="minorHAnsi"/>
          <w:color w:val="000000" w:themeColor="text1"/>
          <w:sz w:val="24"/>
          <w:szCs w:val="24"/>
        </w:rPr>
        <w:t xml:space="preserve"> </w:t>
      </w:r>
      <w:r w:rsidRPr="00454C4E">
        <w:rPr>
          <w:rFonts w:ascii="Book Antiqua" w:hAnsi="Book Antiqua" w:cstheme="minorHAnsi"/>
          <w:color w:val="000000" w:themeColor="text1"/>
          <w:sz w:val="24"/>
          <w:szCs w:val="24"/>
        </w:rPr>
        <w:t xml:space="preserve">recognition of gender-based and sexual violence as violations of international </w:t>
      </w:r>
      <w:r w:rsidR="00F6273F" w:rsidRPr="00454C4E">
        <w:rPr>
          <w:rFonts w:ascii="Book Antiqua" w:hAnsi="Book Antiqua" w:cstheme="minorHAnsi"/>
          <w:color w:val="000000" w:themeColor="text1"/>
          <w:sz w:val="24"/>
          <w:szCs w:val="24"/>
        </w:rPr>
        <w:t xml:space="preserve">human rights </w:t>
      </w:r>
      <w:r w:rsidRPr="00454C4E">
        <w:rPr>
          <w:rFonts w:ascii="Book Antiqua" w:hAnsi="Book Antiqua" w:cstheme="minorHAnsi"/>
          <w:color w:val="000000" w:themeColor="text1"/>
          <w:sz w:val="24"/>
          <w:szCs w:val="24"/>
        </w:rPr>
        <w:t xml:space="preserve">law incurring state responsibility and the obligation to make reparation </w:t>
      </w:r>
      <w:r w:rsidR="00F6273F" w:rsidRPr="00454C4E">
        <w:rPr>
          <w:rFonts w:ascii="Book Antiqua" w:hAnsi="Book Antiqua" w:cstheme="minorHAnsi"/>
          <w:color w:val="000000" w:themeColor="text1"/>
          <w:sz w:val="24"/>
          <w:szCs w:val="24"/>
        </w:rPr>
        <w:t xml:space="preserve">has </w:t>
      </w:r>
      <w:r w:rsidRPr="00454C4E">
        <w:rPr>
          <w:rFonts w:ascii="Book Antiqua" w:hAnsi="Book Antiqua" w:cstheme="minorHAnsi"/>
          <w:color w:val="000000" w:themeColor="text1"/>
          <w:sz w:val="24"/>
          <w:szCs w:val="24"/>
        </w:rPr>
        <w:t xml:space="preserve">evolved alongside </w:t>
      </w:r>
      <w:r w:rsidR="00F6273F" w:rsidRPr="00454C4E">
        <w:rPr>
          <w:rFonts w:ascii="Book Antiqua" w:hAnsi="Book Antiqua" w:cstheme="minorHAnsi"/>
          <w:color w:val="000000" w:themeColor="text1"/>
          <w:sz w:val="24"/>
          <w:szCs w:val="24"/>
        </w:rPr>
        <w:t>further understanding of gender-based and sexual violence against women as international crimes.</w:t>
      </w:r>
      <w:r w:rsidR="00DF45FF" w:rsidRPr="003922C5">
        <w:rPr>
          <w:rStyle w:val="FootnoteReference"/>
          <w:rFonts w:ascii="Book Antiqua" w:hAnsi="Book Antiqua" w:cstheme="minorHAnsi"/>
          <w:color w:val="000000" w:themeColor="text1"/>
          <w:sz w:val="24"/>
          <w:szCs w:val="24"/>
        </w:rPr>
        <w:footnoteReference w:id="32"/>
      </w:r>
      <w:r w:rsidR="00F6273F" w:rsidRPr="00454C4E">
        <w:rPr>
          <w:rFonts w:ascii="Book Antiqua" w:hAnsi="Book Antiqua" w:cstheme="minorHAnsi"/>
          <w:color w:val="000000" w:themeColor="text1"/>
          <w:sz w:val="24"/>
          <w:szCs w:val="24"/>
        </w:rPr>
        <w:t xml:space="preserve"> The creation of the International Criminal Tribunal for the former Yugoslavia in 1993, the International Criminal Tribunal for Rwanda in 1994 and the permanent International Criminal Court in 1998 provided the judicial fora for the development of the relevant jurisprudence. </w:t>
      </w:r>
    </w:p>
    <w:p w14:paraId="4BE9951F" w14:textId="77777777" w:rsidR="00454C4E" w:rsidRPr="00454C4E" w:rsidRDefault="00454C4E" w:rsidP="00454C4E">
      <w:pPr>
        <w:pStyle w:val="ListParagraph"/>
        <w:rPr>
          <w:rFonts w:ascii="Book Antiqua" w:hAnsi="Book Antiqua" w:cstheme="minorHAnsi"/>
          <w:color w:val="000000" w:themeColor="text1"/>
          <w:sz w:val="24"/>
          <w:szCs w:val="24"/>
        </w:rPr>
      </w:pPr>
    </w:p>
    <w:p w14:paraId="440B4C32" w14:textId="77777777" w:rsidR="00520294" w:rsidRDefault="00B732B1" w:rsidP="00520294">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sidRPr="00454C4E">
        <w:rPr>
          <w:rFonts w:ascii="Book Antiqua" w:hAnsi="Book Antiqua" w:cstheme="minorHAnsi"/>
          <w:color w:val="000000" w:themeColor="text1"/>
          <w:sz w:val="24"/>
          <w:szCs w:val="24"/>
        </w:rPr>
        <w:t xml:space="preserve">Inclusion of sexual violence within the jurisdiction of these tribunals, prosecution policy and judicial reasoning has led to </w:t>
      </w:r>
      <w:r w:rsidR="00F6273F" w:rsidRPr="00454C4E">
        <w:rPr>
          <w:rFonts w:ascii="Book Antiqua" w:hAnsi="Book Antiqua" w:cstheme="minorHAnsi"/>
          <w:color w:val="000000" w:themeColor="text1"/>
          <w:sz w:val="24"/>
          <w:szCs w:val="24"/>
        </w:rPr>
        <w:t xml:space="preserve">the evolution of jurisprudence </w:t>
      </w:r>
      <w:r w:rsidR="00931013" w:rsidRPr="00454C4E">
        <w:rPr>
          <w:rFonts w:ascii="Book Antiqua" w:hAnsi="Book Antiqua" w:cstheme="minorHAnsi"/>
          <w:color w:val="000000" w:themeColor="text1"/>
          <w:sz w:val="24"/>
          <w:szCs w:val="24"/>
        </w:rPr>
        <w:t xml:space="preserve">through which the </w:t>
      </w:r>
      <w:r w:rsidR="00907FE1" w:rsidRPr="00454C4E">
        <w:rPr>
          <w:rFonts w:ascii="Book Antiqua" w:hAnsi="Book Antiqua" w:cstheme="minorHAnsi"/>
          <w:color w:val="000000" w:themeColor="text1"/>
          <w:sz w:val="24"/>
          <w:szCs w:val="24"/>
        </w:rPr>
        <w:t>Tribunals have determined that where the other elements for crimes against humanity or war crime are present</w:t>
      </w:r>
      <w:r w:rsidR="00931013" w:rsidRPr="00454C4E">
        <w:rPr>
          <w:rFonts w:ascii="Book Antiqua" w:hAnsi="Book Antiqua" w:cstheme="minorHAnsi"/>
          <w:color w:val="000000" w:themeColor="text1"/>
          <w:sz w:val="24"/>
          <w:szCs w:val="24"/>
        </w:rPr>
        <w:t>, r</w:t>
      </w:r>
      <w:r w:rsidR="00907FE1" w:rsidRPr="00454C4E">
        <w:rPr>
          <w:rFonts w:ascii="Book Antiqua" w:hAnsi="Book Antiqua" w:cstheme="minorHAnsi"/>
          <w:color w:val="000000" w:themeColor="text1"/>
          <w:sz w:val="24"/>
          <w:szCs w:val="24"/>
        </w:rPr>
        <w:t xml:space="preserve">ape </w:t>
      </w:r>
      <w:r w:rsidR="00931013" w:rsidRPr="00454C4E">
        <w:rPr>
          <w:rFonts w:ascii="Book Antiqua" w:hAnsi="Book Antiqua" w:cstheme="minorHAnsi"/>
          <w:color w:val="000000" w:themeColor="text1"/>
          <w:sz w:val="24"/>
          <w:szCs w:val="24"/>
        </w:rPr>
        <w:t xml:space="preserve">and other forms of sexual violence </w:t>
      </w:r>
      <w:r w:rsidR="00907FE1" w:rsidRPr="00454C4E">
        <w:rPr>
          <w:rFonts w:ascii="Book Antiqua" w:hAnsi="Book Antiqua" w:cstheme="minorHAnsi"/>
          <w:color w:val="000000" w:themeColor="text1"/>
          <w:sz w:val="24"/>
          <w:szCs w:val="24"/>
        </w:rPr>
        <w:t>can constitute</w:t>
      </w:r>
      <w:r w:rsidR="00931013" w:rsidRPr="00454C4E">
        <w:rPr>
          <w:rFonts w:ascii="Book Antiqua" w:hAnsi="Book Antiqua" w:cstheme="minorHAnsi"/>
          <w:color w:val="000000" w:themeColor="text1"/>
          <w:sz w:val="24"/>
          <w:szCs w:val="24"/>
        </w:rPr>
        <w:t>:</w:t>
      </w:r>
      <w:r w:rsidR="00907FE1" w:rsidRPr="00454C4E">
        <w:rPr>
          <w:rFonts w:ascii="Book Antiqua" w:hAnsi="Book Antiqua" w:cstheme="minorHAnsi"/>
          <w:color w:val="000000" w:themeColor="text1"/>
          <w:sz w:val="24"/>
          <w:szCs w:val="24"/>
        </w:rPr>
        <w:t xml:space="preserve"> a freestanding crime against humanity</w:t>
      </w:r>
      <w:r w:rsidR="00037963" w:rsidRPr="003922C5">
        <w:rPr>
          <w:rStyle w:val="FootnoteReference"/>
          <w:rFonts w:ascii="Book Antiqua" w:hAnsi="Book Antiqua" w:cstheme="minorHAnsi"/>
          <w:color w:val="000000" w:themeColor="text1"/>
          <w:sz w:val="24"/>
          <w:szCs w:val="24"/>
        </w:rPr>
        <w:footnoteReference w:id="33"/>
      </w:r>
      <w:r w:rsidR="00907FE1" w:rsidRPr="00454C4E">
        <w:rPr>
          <w:rFonts w:ascii="Book Antiqua" w:hAnsi="Book Antiqua" w:cstheme="minorHAnsi"/>
          <w:color w:val="000000" w:themeColor="text1"/>
          <w:sz w:val="24"/>
          <w:szCs w:val="24"/>
        </w:rPr>
        <w:t xml:space="preserve"> and a war crime</w:t>
      </w:r>
      <w:r w:rsidR="00037963" w:rsidRPr="00454C4E">
        <w:rPr>
          <w:rFonts w:ascii="Book Antiqua" w:hAnsi="Book Antiqua" w:cstheme="minorHAnsi"/>
          <w:color w:val="000000" w:themeColor="text1"/>
          <w:sz w:val="24"/>
          <w:szCs w:val="24"/>
        </w:rPr>
        <w:t xml:space="preserve"> (grave breach of the Geneva Conventions and violations of the laws and customs of war)</w:t>
      </w:r>
      <w:r w:rsidR="00907FE1" w:rsidRPr="00454C4E">
        <w:rPr>
          <w:rFonts w:ascii="Book Antiqua" w:hAnsi="Book Antiqua" w:cstheme="minorHAnsi"/>
          <w:color w:val="000000" w:themeColor="text1"/>
          <w:sz w:val="24"/>
          <w:szCs w:val="24"/>
        </w:rPr>
        <w:t>;</w:t>
      </w:r>
      <w:r w:rsidR="00037963" w:rsidRPr="003922C5">
        <w:rPr>
          <w:rStyle w:val="FootnoteReference"/>
          <w:rFonts w:ascii="Book Antiqua" w:hAnsi="Book Antiqua" w:cstheme="minorHAnsi"/>
          <w:color w:val="000000" w:themeColor="text1"/>
          <w:sz w:val="24"/>
          <w:szCs w:val="24"/>
        </w:rPr>
        <w:footnoteReference w:id="34"/>
      </w:r>
      <w:r w:rsidR="00907FE1" w:rsidRPr="00454C4E">
        <w:rPr>
          <w:rFonts w:ascii="Book Antiqua" w:hAnsi="Book Antiqua"/>
          <w:color w:val="000000" w:themeColor="text1"/>
          <w:sz w:val="24"/>
          <w:szCs w:val="24"/>
        </w:rPr>
        <w:t xml:space="preserve"> </w:t>
      </w:r>
      <w:r w:rsidR="00907FE1" w:rsidRPr="00454C4E">
        <w:rPr>
          <w:rFonts w:ascii="Book Antiqua" w:hAnsi="Book Antiqua" w:cstheme="minorHAnsi"/>
          <w:color w:val="000000" w:themeColor="text1"/>
          <w:sz w:val="24"/>
          <w:szCs w:val="24"/>
        </w:rPr>
        <w:t xml:space="preserve"> torture as a crime against humanity and a war crime when it comes within the definition of torture;</w:t>
      </w:r>
      <w:r w:rsidR="002B2365" w:rsidRPr="003922C5">
        <w:rPr>
          <w:rStyle w:val="FootnoteReference"/>
          <w:rFonts w:ascii="Book Antiqua" w:hAnsi="Book Antiqua" w:cstheme="minorHAnsi"/>
          <w:color w:val="000000" w:themeColor="text1"/>
          <w:sz w:val="24"/>
          <w:szCs w:val="24"/>
        </w:rPr>
        <w:footnoteReference w:id="35"/>
      </w:r>
      <w:r w:rsidR="00907FE1" w:rsidRPr="00454C4E">
        <w:rPr>
          <w:rFonts w:ascii="Book Antiqua" w:hAnsi="Book Antiqua"/>
          <w:color w:val="000000" w:themeColor="text1"/>
          <w:sz w:val="24"/>
          <w:szCs w:val="24"/>
        </w:rPr>
        <w:t xml:space="preserve"> </w:t>
      </w:r>
      <w:r w:rsidR="00931013" w:rsidRPr="00454C4E">
        <w:rPr>
          <w:rFonts w:ascii="Book Antiqua" w:hAnsi="Book Antiqua" w:cstheme="minorHAnsi"/>
          <w:color w:val="000000" w:themeColor="text1"/>
          <w:sz w:val="24"/>
          <w:szCs w:val="24"/>
        </w:rPr>
        <w:t xml:space="preserve"> </w:t>
      </w:r>
      <w:r w:rsidR="00907FE1" w:rsidRPr="00454C4E">
        <w:rPr>
          <w:rFonts w:ascii="Book Antiqua" w:hAnsi="Book Antiqua" w:cstheme="minorHAnsi"/>
          <w:color w:val="000000" w:themeColor="text1"/>
          <w:sz w:val="24"/>
          <w:szCs w:val="24"/>
        </w:rPr>
        <w:t xml:space="preserve">enslavement </w:t>
      </w:r>
      <w:r w:rsidR="00931013" w:rsidRPr="00454C4E">
        <w:rPr>
          <w:rFonts w:ascii="Book Antiqua" w:hAnsi="Book Antiqua" w:cstheme="minorHAnsi"/>
          <w:color w:val="000000" w:themeColor="text1"/>
          <w:sz w:val="24"/>
          <w:szCs w:val="24"/>
        </w:rPr>
        <w:t xml:space="preserve">and sexual slavery </w:t>
      </w:r>
      <w:r w:rsidR="00907FE1" w:rsidRPr="00454C4E">
        <w:rPr>
          <w:rFonts w:ascii="Book Antiqua" w:hAnsi="Book Antiqua" w:cstheme="minorHAnsi"/>
          <w:color w:val="000000" w:themeColor="text1"/>
          <w:sz w:val="24"/>
          <w:szCs w:val="24"/>
        </w:rPr>
        <w:t>as crimes against humanity;</w:t>
      </w:r>
      <w:r w:rsidR="00037963" w:rsidRPr="003922C5">
        <w:rPr>
          <w:rStyle w:val="FootnoteReference"/>
          <w:rFonts w:ascii="Book Antiqua" w:hAnsi="Book Antiqua" w:cstheme="minorHAnsi"/>
          <w:color w:val="000000" w:themeColor="text1"/>
          <w:sz w:val="24"/>
          <w:szCs w:val="24"/>
        </w:rPr>
        <w:footnoteReference w:id="36"/>
      </w:r>
      <w:r w:rsidR="00907FE1" w:rsidRPr="00454C4E">
        <w:rPr>
          <w:rFonts w:ascii="Book Antiqua" w:hAnsi="Book Antiqua"/>
          <w:color w:val="000000" w:themeColor="text1"/>
          <w:sz w:val="24"/>
          <w:szCs w:val="24"/>
        </w:rPr>
        <w:t xml:space="preserve"> </w:t>
      </w:r>
      <w:r w:rsidR="00907FE1" w:rsidRPr="00454C4E">
        <w:rPr>
          <w:rFonts w:ascii="Book Antiqua" w:hAnsi="Book Antiqua" w:cstheme="minorHAnsi"/>
          <w:color w:val="000000" w:themeColor="text1"/>
          <w:sz w:val="24"/>
          <w:szCs w:val="24"/>
        </w:rPr>
        <w:t>outrages on personal dignity and inhumane treatment.</w:t>
      </w:r>
      <w:r w:rsidR="00B35C7C" w:rsidRPr="00454C4E">
        <w:rPr>
          <w:rFonts w:ascii="Book Antiqua" w:hAnsi="Book Antiqua" w:cstheme="minorHAnsi"/>
          <w:color w:val="000000" w:themeColor="text1"/>
          <w:sz w:val="24"/>
          <w:szCs w:val="24"/>
        </w:rPr>
        <w:t xml:space="preserve"> When such crimes are integral to the attempt to destroy in whole or in part a group as defined in the Genocide Convention</w:t>
      </w:r>
      <w:r w:rsidR="00B35C7C" w:rsidRPr="003922C5">
        <w:rPr>
          <w:rStyle w:val="FootnoteReference"/>
          <w:rFonts w:ascii="Book Antiqua" w:hAnsi="Book Antiqua" w:cstheme="minorHAnsi"/>
          <w:color w:val="000000" w:themeColor="text1"/>
          <w:sz w:val="24"/>
          <w:szCs w:val="24"/>
        </w:rPr>
        <w:footnoteReference w:id="37"/>
      </w:r>
      <w:r w:rsidR="00B35C7C" w:rsidRPr="00454C4E">
        <w:rPr>
          <w:rFonts w:ascii="Book Antiqua" w:hAnsi="Book Antiqua" w:cstheme="minorHAnsi"/>
          <w:color w:val="000000" w:themeColor="text1"/>
          <w:sz w:val="24"/>
          <w:szCs w:val="24"/>
        </w:rPr>
        <w:t xml:space="preserve"> they can also be genocidal, as was the case in Rwanda in 1994</w:t>
      </w:r>
      <w:r w:rsidR="00B35C7C" w:rsidRPr="003922C5">
        <w:rPr>
          <w:rStyle w:val="FootnoteReference"/>
          <w:rFonts w:ascii="Book Antiqua" w:hAnsi="Book Antiqua" w:cstheme="minorHAnsi"/>
          <w:color w:val="000000" w:themeColor="text1"/>
          <w:sz w:val="24"/>
          <w:szCs w:val="24"/>
        </w:rPr>
        <w:footnoteReference w:id="38"/>
      </w:r>
      <w:r w:rsidR="00B35C7C" w:rsidRPr="00454C4E">
        <w:rPr>
          <w:rFonts w:ascii="Book Antiqua" w:hAnsi="Book Antiqua" w:cstheme="minorHAnsi"/>
          <w:color w:val="000000" w:themeColor="text1"/>
          <w:sz w:val="24"/>
          <w:szCs w:val="24"/>
        </w:rPr>
        <w:t xml:space="preserve"> and against the Yazidi people from 2014 until the defeat of ISIS.</w:t>
      </w:r>
      <w:r w:rsidR="00B35C7C" w:rsidRPr="003922C5">
        <w:rPr>
          <w:rStyle w:val="FootnoteReference"/>
          <w:rFonts w:ascii="Book Antiqua" w:hAnsi="Book Antiqua" w:cstheme="minorHAnsi"/>
          <w:color w:val="000000" w:themeColor="text1"/>
          <w:sz w:val="24"/>
          <w:szCs w:val="24"/>
        </w:rPr>
        <w:footnoteReference w:id="39"/>
      </w:r>
    </w:p>
    <w:p w14:paraId="0076F5BB" w14:textId="77777777" w:rsidR="00520294" w:rsidRPr="00520294" w:rsidRDefault="00520294" w:rsidP="00520294">
      <w:pPr>
        <w:pStyle w:val="ListParagraph"/>
        <w:rPr>
          <w:rFonts w:ascii="Book Antiqua" w:hAnsi="Book Antiqua" w:cstheme="minorHAnsi"/>
          <w:color w:val="000000" w:themeColor="text1"/>
          <w:sz w:val="24"/>
          <w:szCs w:val="24"/>
        </w:rPr>
      </w:pPr>
    </w:p>
    <w:p w14:paraId="663CAE86" w14:textId="77777777" w:rsidR="00907663" w:rsidRDefault="00B35C7C" w:rsidP="00907663">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sidRPr="00520294">
        <w:rPr>
          <w:rFonts w:ascii="Book Antiqua" w:hAnsi="Book Antiqua" w:cstheme="minorHAnsi"/>
          <w:color w:val="000000" w:themeColor="text1"/>
          <w:sz w:val="24"/>
          <w:szCs w:val="24"/>
        </w:rPr>
        <w:t xml:space="preserve">The Rome Statute of the International Criminal Court, 1998, includes </w:t>
      </w:r>
      <w:r w:rsidRPr="00520294">
        <w:rPr>
          <w:rFonts w:ascii="Book Antiqua" w:hAnsi="Book Antiqua"/>
          <w:color w:val="000000" w:themeColor="text1"/>
          <w:sz w:val="24"/>
          <w:szCs w:val="24"/>
        </w:rPr>
        <w:t xml:space="preserve">within its jurisdiction sexual and gender-related crimes as among the most serious crimes of international concern. </w:t>
      </w:r>
      <w:r w:rsidRPr="00520294">
        <w:rPr>
          <w:rFonts w:ascii="Book Antiqua" w:hAnsi="Book Antiqua" w:cstheme="minorHAnsi"/>
          <w:color w:val="000000" w:themeColor="text1"/>
          <w:sz w:val="24"/>
          <w:szCs w:val="24"/>
        </w:rPr>
        <w:t>The Rome Statute spells out that when the other legal conditions are satisfied  ‘rape, sexual slavery, enforced prostitution, forced pregnancy, enforced sterilization or any other form of sexual violence of comparable gravity’ come within the Court’s jurisdiction as crimes against humanity</w:t>
      </w:r>
      <w:r w:rsidRPr="003922C5">
        <w:rPr>
          <w:rStyle w:val="FootnoteReference"/>
          <w:rFonts w:ascii="Book Antiqua" w:hAnsi="Book Antiqua" w:cstheme="minorHAnsi"/>
          <w:color w:val="000000" w:themeColor="text1"/>
          <w:sz w:val="24"/>
          <w:szCs w:val="24"/>
        </w:rPr>
        <w:footnoteReference w:id="40"/>
      </w:r>
      <w:r w:rsidRPr="00520294">
        <w:rPr>
          <w:rFonts w:ascii="Book Antiqua" w:hAnsi="Book Antiqua" w:cstheme="minorHAnsi"/>
          <w:color w:val="000000" w:themeColor="text1"/>
          <w:sz w:val="24"/>
          <w:szCs w:val="24"/>
        </w:rPr>
        <w:t xml:space="preserve"> and violations of the laws and customs of war in international</w:t>
      </w:r>
      <w:r w:rsidRPr="003922C5">
        <w:rPr>
          <w:rStyle w:val="FootnoteReference"/>
          <w:rFonts w:ascii="Book Antiqua" w:hAnsi="Book Antiqua" w:cstheme="minorHAnsi"/>
          <w:color w:val="000000" w:themeColor="text1"/>
          <w:sz w:val="24"/>
          <w:szCs w:val="24"/>
        </w:rPr>
        <w:footnoteReference w:id="41"/>
      </w:r>
      <w:r w:rsidRPr="00520294">
        <w:rPr>
          <w:rFonts w:ascii="Book Antiqua" w:hAnsi="Book Antiqua" w:cstheme="minorHAnsi"/>
          <w:color w:val="000000" w:themeColor="text1"/>
          <w:sz w:val="24"/>
          <w:szCs w:val="24"/>
        </w:rPr>
        <w:t xml:space="preserve"> and non-international armed conflict.</w:t>
      </w:r>
      <w:r w:rsidRPr="003922C5">
        <w:rPr>
          <w:rStyle w:val="FootnoteReference"/>
          <w:rFonts w:ascii="Book Antiqua" w:hAnsi="Book Antiqua" w:cstheme="minorHAnsi"/>
          <w:color w:val="000000" w:themeColor="text1"/>
          <w:sz w:val="24"/>
          <w:szCs w:val="24"/>
        </w:rPr>
        <w:footnoteReference w:id="42"/>
      </w:r>
      <w:r w:rsidRPr="00520294">
        <w:rPr>
          <w:rFonts w:ascii="Book Antiqua" w:hAnsi="Book Antiqua" w:cstheme="minorHAnsi"/>
          <w:color w:val="000000" w:themeColor="text1"/>
          <w:sz w:val="24"/>
          <w:szCs w:val="24"/>
        </w:rPr>
        <w:t xml:space="preserve"> Further, persecution against an identifiable group on the basis of gender is a crime against humanity.</w:t>
      </w:r>
    </w:p>
    <w:p w14:paraId="4100299D" w14:textId="77777777" w:rsidR="00907663" w:rsidRPr="00907663" w:rsidRDefault="00907663" w:rsidP="00907663">
      <w:pPr>
        <w:pStyle w:val="ListParagraph"/>
        <w:rPr>
          <w:rFonts w:ascii="Book Antiqua" w:hAnsi="Book Antiqua" w:cstheme="minorHAnsi"/>
          <w:color w:val="000000" w:themeColor="text1"/>
          <w:sz w:val="24"/>
          <w:szCs w:val="24"/>
        </w:rPr>
      </w:pPr>
    </w:p>
    <w:p w14:paraId="00E48080" w14:textId="77777777" w:rsidR="0075604E" w:rsidRDefault="00931013" w:rsidP="00923085">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sidRPr="00907663">
        <w:rPr>
          <w:rFonts w:ascii="Book Antiqua" w:hAnsi="Book Antiqua" w:cstheme="minorHAnsi"/>
          <w:color w:val="000000" w:themeColor="text1"/>
          <w:sz w:val="24"/>
          <w:szCs w:val="24"/>
        </w:rPr>
        <w:t xml:space="preserve">In addition </w:t>
      </w:r>
      <w:r w:rsidR="004474A4" w:rsidRPr="00907663">
        <w:rPr>
          <w:rFonts w:ascii="Book Antiqua" w:hAnsi="Book Antiqua" w:cstheme="minorHAnsi"/>
          <w:color w:val="000000" w:themeColor="text1"/>
          <w:sz w:val="24"/>
          <w:szCs w:val="24"/>
        </w:rPr>
        <w:t xml:space="preserve">to such assertions in IHL, international human rights law and international criminal law, </w:t>
      </w:r>
      <w:r w:rsidRPr="00907663">
        <w:rPr>
          <w:rFonts w:ascii="Book Antiqua" w:hAnsi="Book Antiqua" w:cstheme="minorHAnsi"/>
          <w:color w:val="000000" w:themeColor="text1"/>
          <w:sz w:val="24"/>
          <w:szCs w:val="24"/>
        </w:rPr>
        <w:t xml:space="preserve">prevention of and protection against conflict-affected rape and sexual violence are core components of the </w:t>
      </w:r>
      <w:r w:rsidR="00855EF8" w:rsidRPr="00907663">
        <w:rPr>
          <w:rFonts w:ascii="Book Antiqua" w:hAnsi="Book Antiqua" w:cstheme="minorHAnsi"/>
          <w:color w:val="000000" w:themeColor="text1"/>
          <w:sz w:val="24"/>
          <w:szCs w:val="24"/>
        </w:rPr>
        <w:t>Security Council</w:t>
      </w:r>
      <w:r w:rsidRPr="00907663">
        <w:rPr>
          <w:rFonts w:ascii="Book Antiqua" w:hAnsi="Book Antiqua" w:cstheme="minorHAnsi"/>
          <w:color w:val="000000" w:themeColor="text1"/>
          <w:sz w:val="24"/>
          <w:szCs w:val="24"/>
        </w:rPr>
        <w:t>’s agenda on Women, Peace and Security (WPS) that has been</w:t>
      </w:r>
      <w:r w:rsidR="007319F7" w:rsidRPr="00907663">
        <w:rPr>
          <w:rFonts w:ascii="Book Antiqua" w:hAnsi="Book Antiqua" w:cstheme="minorHAnsi"/>
          <w:color w:val="000000" w:themeColor="text1"/>
          <w:sz w:val="24"/>
          <w:szCs w:val="24"/>
        </w:rPr>
        <w:t xml:space="preserve"> </w:t>
      </w:r>
      <w:r w:rsidR="00855EF8" w:rsidRPr="00907663">
        <w:rPr>
          <w:rFonts w:ascii="Book Antiqua" w:hAnsi="Book Antiqua" w:cstheme="minorHAnsi"/>
          <w:color w:val="000000" w:themeColor="text1"/>
          <w:sz w:val="24"/>
          <w:szCs w:val="24"/>
        </w:rPr>
        <w:t>reiterated through 10 resolutions over 20 years</w:t>
      </w:r>
      <w:r w:rsidR="00926B29" w:rsidRPr="00907663">
        <w:rPr>
          <w:rFonts w:ascii="Book Antiqua" w:hAnsi="Book Antiqua" w:cstheme="minorHAnsi"/>
          <w:color w:val="000000" w:themeColor="text1"/>
          <w:sz w:val="24"/>
          <w:szCs w:val="24"/>
        </w:rPr>
        <w:t>.</w:t>
      </w:r>
      <w:r w:rsidR="001A3A3C">
        <w:rPr>
          <w:rStyle w:val="FootnoteReference"/>
          <w:rFonts w:ascii="Book Antiqua" w:hAnsi="Book Antiqua" w:cstheme="minorHAnsi"/>
          <w:color w:val="000000" w:themeColor="text1"/>
          <w:sz w:val="24"/>
          <w:szCs w:val="24"/>
        </w:rPr>
        <w:footnoteReference w:id="43"/>
      </w:r>
      <w:r w:rsidR="00926B29" w:rsidRPr="00907663">
        <w:rPr>
          <w:rFonts w:ascii="Book Antiqua" w:hAnsi="Book Antiqua" w:cstheme="minorHAnsi"/>
          <w:color w:val="000000" w:themeColor="text1"/>
          <w:sz w:val="24"/>
          <w:szCs w:val="24"/>
        </w:rPr>
        <w:t xml:space="preserve"> </w:t>
      </w:r>
      <w:r w:rsidRPr="00907663">
        <w:rPr>
          <w:rFonts w:ascii="Book Antiqua" w:hAnsi="Book Antiqua" w:cstheme="minorHAnsi"/>
          <w:color w:val="000000" w:themeColor="text1"/>
          <w:sz w:val="24"/>
          <w:szCs w:val="24"/>
        </w:rPr>
        <w:t>A key pillar of WPS is that</w:t>
      </w:r>
      <w:r w:rsidR="004474A4" w:rsidRPr="00907663">
        <w:rPr>
          <w:rFonts w:ascii="Book Antiqua" w:hAnsi="Book Antiqua" w:cstheme="minorHAnsi"/>
          <w:color w:val="000000" w:themeColor="text1"/>
          <w:sz w:val="24"/>
          <w:szCs w:val="24"/>
        </w:rPr>
        <w:t xml:space="preserve"> </w:t>
      </w:r>
      <w:r w:rsidR="00855EF8" w:rsidRPr="00907663">
        <w:rPr>
          <w:rFonts w:ascii="Book Antiqua" w:hAnsi="Book Antiqua" w:cstheme="minorHAnsi"/>
          <w:color w:val="000000" w:themeColor="text1"/>
          <w:sz w:val="24"/>
          <w:szCs w:val="24"/>
        </w:rPr>
        <w:t>there be accountability for crimes of sexual violence</w:t>
      </w:r>
      <w:r w:rsidR="00926B29" w:rsidRPr="00907663">
        <w:rPr>
          <w:rFonts w:ascii="Book Antiqua" w:hAnsi="Book Antiqua" w:cstheme="minorHAnsi"/>
          <w:color w:val="000000" w:themeColor="text1"/>
          <w:sz w:val="24"/>
          <w:szCs w:val="24"/>
        </w:rPr>
        <w:t xml:space="preserve">. </w:t>
      </w:r>
      <w:r w:rsidR="007319F7" w:rsidRPr="00907663">
        <w:rPr>
          <w:rFonts w:ascii="Book Antiqua" w:hAnsi="Book Antiqua" w:cstheme="minorHAnsi"/>
          <w:color w:val="000000" w:themeColor="text1"/>
          <w:sz w:val="24"/>
          <w:szCs w:val="24"/>
        </w:rPr>
        <w:t xml:space="preserve">Security Council Resolution, the ground-breaking resolution that </w:t>
      </w:r>
      <w:r w:rsidR="00EE1029" w:rsidRPr="00907663">
        <w:rPr>
          <w:rFonts w:ascii="Book Antiqua" w:hAnsi="Book Antiqua" w:cstheme="minorHAnsi"/>
          <w:color w:val="000000" w:themeColor="text1"/>
          <w:sz w:val="24"/>
          <w:szCs w:val="24"/>
        </w:rPr>
        <w:t>commenced the Women Pe</w:t>
      </w:r>
      <w:r w:rsidR="002B2365" w:rsidRPr="00907663">
        <w:rPr>
          <w:rFonts w:ascii="Book Antiqua" w:hAnsi="Book Antiqua" w:cstheme="minorHAnsi"/>
          <w:color w:val="000000" w:themeColor="text1"/>
          <w:sz w:val="24"/>
          <w:szCs w:val="24"/>
        </w:rPr>
        <w:t>a</w:t>
      </w:r>
      <w:r w:rsidR="00EE1029" w:rsidRPr="00907663">
        <w:rPr>
          <w:rFonts w:ascii="Book Antiqua" w:hAnsi="Book Antiqua" w:cstheme="minorHAnsi"/>
          <w:color w:val="000000" w:themeColor="text1"/>
          <w:sz w:val="24"/>
          <w:szCs w:val="24"/>
        </w:rPr>
        <w:t>ce and Security agenda</w:t>
      </w:r>
      <w:r w:rsidR="0075604E">
        <w:rPr>
          <w:rFonts w:ascii="Book Antiqua" w:hAnsi="Book Antiqua" w:cstheme="minorHAnsi"/>
          <w:color w:val="000000" w:themeColor="text1"/>
          <w:sz w:val="24"/>
          <w:szCs w:val="24"/>
        </w:rPr>
        <w:t>:</w:t>
      </w:r>
    </w:p>
    <w:p w14:paraId="59226F16" w14:textId="77777777" w:rsidR="0075604E" w:rsidRPr="0075604E" w:rsidRDefault="0075604E" w:rsidP="0075604E">
      <w:pPr>
        <w:pStyle w:val="ListParagraph"/>
        <w:rPr>
          <w:rFonts w:ascii="Book Antiqua" w:hAnsi="Book Antiqua" w:cstheme="minorHAnsi"/>
          <w:color w:val="000000" w:themeColor="text1"/>
          <w:sz w:val="24"/>
          <w:szCs w:val="24"/>
        </w:rPr>
      </w:pPr>
    </w:p>
    <w:p w14:paraId="2AE63FE9" w14:textId="07FBCC26" w:rsidR="00923085" w:rsidRPr="00923085" w:rsidRDefault="00923085" w:rsidP="0075604E">
      <w:pPr>
        <w:pStyle w:val="ListParagraph"/>
        <w:spacing w:line="360" w:lineRule="auto"/>
        <w:ind w:left="1440" w:firstLine="60"/>
        <w:jc w:val="both"/>
        <w:rPr>
          <w:rFonts w:ascii="Book Antiqua" w:hAnsi="Book Antiqua" w:cstheme="minorHAnsi"/>
          <w:color w:val="000000" w:themeColor="text1"/>
          <w:sz w:val="24"/>
          <w:szCs w:val="24"/>
        </w:rPr>
      </w:pPr>
      <w:r>
        <w:rPr>
          <w:rFonts w:ascii="Book Antiqua" w:hAnsi="Book Antiqua" w:cstheme="minorHAnsi"/>
          <w:color w:val="000000" w:themeColor="text1"/>
          <w:sz w:val="24"/>
          <w:szCs w:val="24"/>
        </w:rPr>
        <w:t>‘</w:t>
      </w:r>
      <w:r w:rsidR="00EE1029" w:rsidRPr="00907663">
        <w:rPr>
          <w:rFonts w:ascii="Book Antiqua" w:hAnsi="Book Antiqua"/>
          <w:color w:val="000000" w:themeColor="text1"/>
          <w:sz w:val="24"/>
          <w:szCs w:val="24"/>
        </w:rPr>
        <w:t>Emphasizes the responsibility of all States to put an end to impunity and to prosecute those responsible for genocide, crimes against humanity, and war crimes including those relating to sexual and other violence against women and girls, and in this regard stresses the need to exclude these crimes, where feasible from amnesty provisions.</w:t>
      </w:r>
      <w:r>
        <w:rPr>
          <w:rFonts w:ascii="Book Antiqua" w:hAnsi="Book Antiqua"/>
          <w:color w:val="000000" w:themeColor="text1"/>
          <w:sz w:val="24"/>
          <w:szCs w:val="24"/>
        </w:rPr>
        <w:t>’</w:t>
      </w:r>
      <w:r w:rsidR="00EE1029" w:rsidRPr="00907663">
        <w:rPr>
          <w:rFonts w:ascii="Book Antiqua" w:hAnsi="Book Antiqua"/>
          <w:color w:val="000000" w:themeColor="text1"/>
          <w:sz w:val="24"/>
          <w:szCs w:val="24"/>
        </w:rPr>
        <w:t xml:space="preserve"> </w:t>
      </w:r>
    </w:p>
    <w:p w14:paraId="5E2EA0F7" w14:textId="77777777" w:rsidR="00923085" w:rsidRPr="00923085" w:rsidRDefault="00923085" w:rsidP="00923085">
      <w:pPr>
        <w:pStyle w:val="ListParagraph"/>
        <w:rPr>
          <w:rFonts w:ascii="Book Antiqua" w:hAnsi="Book Antiqua"/>
          <w:color w:val="000000" w:themeColor="text1"/>
          <w:sz w:val="24"/>
          <w:szCs w:val="24"/>
        </w:rPr>
      </w:pPr>
    </w:p>
    <w:p w14:paraId="1757C0D7" w14:textId="74B6199D" w:rsidR="005311C6" w:rsidRDefault="00EE1029" w:rsidP="005311C6">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sidRPr="00923085">
        <w:rPr>
          <w:rFonts w:ascii="Book Antiqua" w:hAnsi="Book Antiqua"/>
          <w:color w:val="000000" w:themeColor="text1"/>
          <w:sz w:val="24"/>
          <w:szCs w:val="24"/>
        </w:rPr>
        <w:t xml:space="preserve">All the subsequent WPS Resolutions have reiterated the responsibility of states to end impunity. </w:t>
      </w:r>
      <w:r w:rsidR="00855EF8" w:rsidRPr="00923085">
        <w:rPr>
          <w:rFonts w:ascii="Book Antiqua" w:hAnsi="Book Antiqua" w:cstheme="minorHAnsi"/>
          <w:color w:val="000000" w:themeColor="text1"/>
          <w:sz w:val="24"/>
          <w:szCs w:val="24"/>
        </w:rPr>
        <w:t xml:space="preserve">Resolution 2467 (2019): </w:t>
      </w:r>
      <w:r w:rsidRPr="00923085">
        <w:rPr>
          <w:rFonts w:ascii="Book Antiqua" w:hAnsi="Book Antiqua" w:cstheme="minorHAnsi"/>
          <w:color w:val="000000" w:themeColor="text1"/>
          <w:sz w:val="24"/>
          <w:szCs w:val="24"/>
        </w:rPr>
        <w:t xml:space="preserve">calls upon states to </w:t>
      </w:r>
      <w:r w:rsidR="005311C6">
        <w:rPr>
          <w:rFonts w:ascii="Book Antiqua" w:hAnsi="Book Antiqua" w:cstheme="minorHAnsi"/>
          <w:color w:val="000000" w:themeColor="text1"/>
          <w:sz w:val="24"/>
          <w:szCs w:val="24"/>
        </w:rPr>
        <w:t>‘</w:t>
      </w:r>
      <w:r w:rsidRPr="00923085">
        <w:rPr>
          <w:rFonts w:ascii="Book Antiqua" w:hAnsi="Book Antiqua"/>
          <w:color w:val="000000" w:themeColor="text1"/>
          <w:sz w:val="24"/>
          <w:szCs w:val="24"/>
        </w:rPr>
        <w:t>enhance investigation and prosecution of sexual violence in conflict and post-conflict situations</w:t>
      </w:r>
      <w:r w:rsidR="005311C6">
        <w:rPr>
          <w:rFonts w:ascii="Book Antiqua" w:hAnsi="Book Antiqua"/>
          <w:color w:val="000000" w:themeColor="text1"/>
          <w:sz w:val="24"/>
          <w:szCs w:val="24"/>
        </w:rPr>
        <w:t>’</w:t>
      </w:r>
      <w:r w:rsidRPr="00923085">
        <w:rPr>
          <w:rFonts w:ascii="Book Antiqua" w:hAnsi="Book Antiqua"/>
          <w:color w:val="000000" w:themeColor="text1"/>
          <w:sz w:val="24"/>
          <w:szCs w:val="24"/>
        </w:rPr>
        <w:t xml:space="preserve">; </w:t>
      </w:r>
      <w:r w:rsidR="00FF78A3" w:rsidRPr="00923085">
        <w:rPr>
          <w:rFonts w:ascii="Book Antiqua" w:hAnsi="Book Antiqua"/>
          <w:color w:val="000000" w:themeColor="text1"/>
          <w:sz w:val="24"/>
          <w:szCs w:val="24"/>
        </w:rPr>
        <w:t xml:space="preserve">stresses the </w:t>
      </w:r>
      <w:r w:rsidR="005311C6">
        <w:rPr>
          <w:rFonts w:ascii="Book Antiqua" w:hAnsi="Book Antiqua"/>
          <w:color w:val="000000" w:themeColor="text1"/>
          <w:sz w:val="24"/>
          <w:szCs w:val="24"/>
        </w:rPr>
        <w:t>‘</w:t>
      </w:r>
      <w:r w:rsidR="00FF78A3" w:rsidRPr="00923085">
        <w:rPr>
          <w:rFonts w:ascii="Book Antiqua" w:hAnsi="Book Antiqua"/>
          <w:color w:val="000000" w:themeColor="text1"/>
          <w:sz w:val="24"/>
          <w:szCs w:val="24"/>
        </w:rPr>
        <w:t>critical role of the domestic investigation and judicial systems of member states to prevent and eliminate sexual violence in conflict and to ensure accountability for those responsible</w:t>
      </w:r>
      <w:r w:rsidR="005311C6">
        <w:rPr>
          <w:rFonts w:ascii="Book Antiqua" w:hAnsi="Book Antiqua"/>
          <w:color w:val="000000" w:themeColor="text1"/>
          <w:sz w:val="24"/>
          <w:szCs w:val="24"/>
        </w:rPr>
        <w:t>’</w:t>
      </w:r>
      <w:r w:rsidR="00FF78A3" w:rsidRPr="00923085">
        <w:rPr>
          <w:rFonts w:ascii="Book Antiqua" w:hAnsi="Book Antiqua"/>
          <w:color w:val="000000" w:themeColor="text1"/>
          <w:sz w:val="24"/>
          <w:szCs w:val="24"/>
        </w:rPr>
        <w:t xml:space="preserve"> and </w:t>
      </w:r>
      <w:r w:rsidR="005311C6">
        <w:rPr>
          <w:rFonts w:ascii="Book Antiqua" w:hAnsi="Book Antiqua"/>
          <w:color w:val="000000" w:themeColor="text1"/>
          <w:sz w:val="24"/>
          <w:szCs w:val="24"/>
        </w:rPr>
        <w:t>‘</w:t>
      </w:r>
      <w:r w:rsidR="00FF78A3" w:rsidRPr="00923085">
        <w:rPr>
          <w:rFonts w:ascii="Book Antiqua" w:hAnsi="Book Antiqua"/>
          <w:color w:val="000000" w:themeColor="text1"/>
          <w:sz w:val="24"/>
          <w:szCs w:val="24"/>
        </w:rPr>
        <w:t>Urges Member States to strengthen access to justice for victims of sexual violence in conflict</w:t>
      </w:r>
      <w:r w:rsidR="00FF78A3" w:rsidRPr="00923085" w:rsidDel="00FF78A3">
        <w:rPr>
          <w:rFonts w:ascii="Book Antiqua" w:hAnsi="Book Antiqua" w:cstheme="minorHAnsi"/>
          <w:color w:val="000000" w:themeColor="text1"/>
          <w:sz w:val="24"/>
          <w:szCs w:val="24"/>
        </w:rPr>
        <w:t xml:space="preserve"> </w:t>
      </w:r>
      <w:r w:rsidR="00855EF8" w:rsidRPr="00923085">
        <w:rPr>
          <w:rFonts w:ascii="Book Antiqua" w:hAnsi="Book Antiqua" w:cstheme="minorHAnsi"/>
          <w:color w:val="000000" w:themeColor="text1"/>
          <w:sz w:val="24"/>
          <w:szCs w:val="24"/>
        </w:rPr>
        <w:t xml:space="preserve"> </w:t>
      </w:r>
      <w:r w:rsidR="00CC16C8" w:rsidRPr="00923085">
        <w:rPr>
          <w:rFonts w:ascii="Book Antiqua" w:hAnsi="Book Antiqua" w:cstheme="minorHAnsi"/>
          <w:color w:val="000000" w:themeColor="text1"/>
          <w:sz w:val="24"/>
          <w:szCs w:val="24"/>
        </w:rPr>
        <w:t>It also recalls</w:t>
      </w:r>
      <w:r w:rsidR="00855EF8" w:rsidRPr="00923085">
        <w:rPr>
          <w:rFonts w:ascii="Book Antiqua" w:hAnsi="Book Antiqua" w:cstheme="minorHAnsi"/>
          <w:color w:val="000000" w:themeColor="text1"/>
          <w:sz w:val="24"/>
          <w:szCs w:val="24"/>
        </w:rPr>
        <w:t xml:space="preserve"> the applicable provisions of international law on the right to an effective remedy for violations of human rights, calls upon Member States to make such effective remedy and assistance available to victims of sexual violence in conflict, and post-conflict situations’</w:t>
      </w:r>
      <w:r w:rsidR="00204E9B" w:rsidRPr="00923085">
        <w:rPr>
          <w:rFonts w:ascii="Book Antiqua" w:hAnsi="Book Antiqua" w:cstheme="minorHAnsi"/>
          <w:color w:val="000000" w:themeColor="text1"/>
          <w:sz w:val="24"/>
          <w:szCs w:val="24"/>
        </w:rPr>
        <w:t xml:space="preserve">. </w:t>
      </w:r>
    </w:p>
    <w:p w14:paraId="576097E8" w14:textId="77777777" w:rsidR="005311C6" w:rsidRPr="005311C6" w:rsidRDefault="005311C6" w:rsidP="005311C6">
      <w:pPr>
        <w:pStyle w:val="ListParagraph"/>
        <w:rPr>
          <w:rFonts w:ascii="Book Antiqua" w:hAnsi="Book Antiqua" w:cstheme="minorHAnsi"/>
          <w:color w:val="000000" w:themeColor="text1"/>
          <w:sz w:val="24"/>
          <w:szCs w:val="24"/>
        </w:rPr>
      </w:pPr>
    </w:p>
    <w:p w14:paraId="593EC035" w14:textId="3831F02C" w:rsidR="005311C6" w:rsidRPr="005311C6" w:rsidRDefault="005B5AB6" w:rsidP="005311C6">
      <w:pPr>
        <w:spacing w:line="360" w:lineRule="auto"/>
        <w:jc w:val="both"/>
        <w:rPr>
          <w:rFonts w:ascii="Book Antiqua" w:hAnsi="Book Antiqua" w:cstheme="minorHAnsi"/>
          <w:i/>
          <w:iCs/>
          <w:color w:val="000000" w:themeColor="text1"/>
          <w:sz w:val="24"/>
          <w:szCs w:val="24"/>
        </w:rPr>
      </w:pPr>
      <w:r>
        <w:rPr>
          <w:rFonts w:ascii="Book Antiqua" w:hAnsi="Book Antiqua" w:cstheme="minorHAnsi"/>
          <w:i/>
          <w:iCs/>
          <w:color w:val="000000" w:themeColor="text1"/>
          <w:sz w:val="24"/>
          <w:szCs w:val="24"/>
        </w:rPr>
        <w:t>Gender Crimes and End of Impunity</w:t>
      </w:r>
    </w:p>
    <w:p w14:paraId="1C8DC090" w14:textId="77777777" w:rsidR="005311C6" w:rsidRPr="005311C6" w:rsidRDefault="005311C6" w:rsidP="005311C6">
      <w:pPr>
        <w:pStyle w:val="ListParagraph"/>
        <w:rPr>
          <w:rFonts w:ascii="Book Antiqua" w:hAnsi="Book Antiqua" w:cstheme="minorHAnsi"/>
          <w:color w:val="000000" w:themeColor="text1"/>
          <w:sz w:val="24"/>
          <w:szCs w:val="24"/>
        </w:rPr>
      </w:pPr>
    </w:p>
    <w:p w14:paraId="368BA5DA" w14:textId="0311C03C" w:rsidR="005311C6" w:rsidRDefault="005311C6" w:rsidP="005311C6">
      <w:pPr>
        <w:pStyle w:val="ListParagraph"/>
        <w:numPr>
          <w:ilvl w:val="0"/>
          <w:numId w:val="1"/>
        </w:numPr>
        <w:spacing w:line="360" w:lineRule="auto"/>
        <w:jc w:val="both"/>
        <w:rPr>
          <w:rFonts w:ascii="Book Antiqua" w:hAnsi="Book Antiqua" w:cstheme="minorHAnsi"/>
          <w:color w:val="000000" w:themeColor="text1"/>
          <w:sz w:val="24"/>
          <w:szCs w:val="24"/>
        </w:rPr>
      </w:pPr>
      <w:r w:rsidRPr="005311C6">
        <w:rPr>
          <w:rFonts w:ascii="Book Antiqua" w:hAnsi="Book Antiqua" w:cstheme="minorHAnsi"/>
          <w:color w:val="000000" w:themeColor="text1"/>
          <w:sz w:val="24"/>
          <w:szCs w:val="24"/>
        </w:rPr>
        <w:t xml:space="preserve">Recognition of conflict-affected sexual violence as a violation of IHL, as incurring state responsibility under international human rights law and individual criminal liability under international criminal law, as well as comprising a core component of the Security Council’s agenda on Women Peace and Security underscores the importance the international community now attaches to ending impunity and ensuring state and/or individual responsibility of perpetrators and reparation for victim/survivors. </w:t>
      </w:r>
    </w:p>
    <w:p w14:paraId="5B087491" w14:textId="77777777" w:rsidR="005311C6" w:rsidRPr="005311C6" w:rsidRDefault="005311C6" w:rsidP="005311C6">
      <w:pPr>
        <w:pStyle w:val="ListParagraph"/>
        <w:spacing w:line="360" w:lineRule="auto"/>
        <w:jc w:val="both"/>
        <w:rPr>
          <w:rFonts w:ascii="Book Antiqua" w:hAnsi="Book Antiqua" w:cstheme="minorHAnsi"/>
          <w:color w:val="000000" w:themeColor="text1"/>
          <w:sz w:val="24"/>
          <w:szCs w:val="24"/>
        </w:rPr>
      </w:pPr>
    </w:p>
    <w:p w14:paraId="5E2A3E66" w14:textId="66E49662" w:rsidR="00855EF8" w:rsidRPr="00AF4F09" w:rsidRDefault="00CC16C8" w:rsidP="00AF4F09">
      <w:pPr>
        <w:pStyle w:val="ListParagraph"/>
        <w:numPr>
          <w:ilvl w:val="0"/>
          <w:numId w:val="1"/>
        </w:numPr>
        <w:spacing w:line="360" w:lineRule="auto"/>
        <w:jc w:val="both"/>
        <w:rPr>
          <w:rFonts w:ascii="Book Antiqua" w:hAnsi="Book Antiqua" w:cstheme="minorHAnsi"/>
          <w:color w:val="000000" w:themeColor="text1"/>
          <w:sz w:val="24"/>
          <w:szCs w:val="24"/>
        </w:rPr>
      </w:pPr>
      <w:r w:rsidRPr="005311C6">
        <w:rPr>
          <w:rFonts w:ascii="Book Antiqua" w:hAnsi="Book Antiqua" w:cstheme="minorHAnsi"/>
          <w:color w:val="000000" w:themeColor="text1"/>
          <w:sz w:val="24"/>
          <w:szCs w:val="24"/>
        </w:rPr>
        <w:t xml:space="preserve">The evolution </w:t>
      </w:r>
      <w:r w:rsidR="00204E9B" w:rsidRPr="005311C6">
        <w:rPr>
          <w:rFonts w:ascii="Book Antiqua" w:hAnsi="Book Antiqua" w:cstheme="minorHAnsi"/>
          <w:color w:val="000000" w:themeColor="text1"/>
          <w:sz w:val="24"/>
          <w:szCs w:val="24"/>
        </w:rPr>
        <w:t xml:space="preserve">of international law relating to gender equality </w:t>
      </w:r>
      <w:r w:rsidRPr="005311C6">
        <w:rPr>
          <w:rFonts w:ascii="Book Antiqua" w:hAnsi="Book Antiqua" w:cstheme="minorHAnsi"/>
          <w:color w:val="000000" w:themeColor="text1"/>
          <w:sz w:val="24"/>
          <w:szCs w:val="24"/>
        </w:rPr>
        <w:t xml:space="preserve">and </w:t>
      </w:r>
      <w:r w:rsidR="004474A4" w:rsidRPr="005311C6">
        <w:rPr>
          <w:rFonts w:ascii="Book Antiqua" w:hAnsi="Book Antiqua" w:cstheme="minorHAnsi"/>
          <w:color w:val="000000" w:themeColor="text1"/>
          <w:sz w:val="24"/>
          <w:szCs w:val="24"/>
        </w:rPr>
        <w:t xml:space="preserve">the </w:t>
      </w:r>
      <w:r w:rsidRPr="005311C6">
        <w:rPr>
          <w:rFonts w:ascii="Book Antiqua" w:hAnsi="Book Antiqua" w:cstheme="minorHAnsi"/>
          <w:color w:val="000000" w:themeColor="text1"/>
          <w:sz w:val="24"/>
          <w:szCs w:val="24"/>
        </w:rPr>
        <w:t xml:space="preserve">conceptualisation of gender crimes </w:t>
      </w:r>
      <w:r w:rsidR="004474A4" w:rsidRPr="005311C6">
        <w:rPr>
          <w:rFonts w:ascii="Book Antiqua" w:hAnsi="Book Antiqua" w:cstheme="minorHAnsi"/>
          <w:color w:val="000000" w:themeColor="text1"/>
          <w:sz w:val="24"/>
          <w:szCs w:val="24"/>
        </w:rPr>
        <w:t xml:space="preserve">for which there is international criminal liability </w:t>
      </w:r>
      <w:r w:rsidRPr="005311C6">
        <w:rPr>
          <w:rFonts w:ascii="Book Antiqua" w:hAnsi="Book Antiqua" w:cstheme="minorHAnsi"/>
          <w:color w:val="000000" w:themeColor="text1"/>
          <w:sz w:val="24"/>
          <w:szCs w:val="24"/>
        </w:rPr>
        <w:t>ha</w:t>
      </w:r>
      <w:r w:rsidR="00204E9B" w:rsidRPr="005311C6">
        <w:rPr>
          <w:rFonts w:ascii="Book Antiqua" w:hAnsi="Book Antiqua" w:cstheme="minorHAnsi"/>
          <w:color w:val="000000" w:themeColor="text1"/>
          <w:sz w:val="24"/>
          <w:szCs w:val="24"/>
        </w:rPr>
        <w:t>ve both</w:t>
      </w:r>
      <w:r w:rsidRPr="005311C6">
        <w:rPr>
          <w:rFonts w:ascii="Book Antiqua" w:hAnsi="Book Antiqua" w:cstheme="minorHAnsi"/>
          <w:color w:val="000000" w:themeColor="text1"/>
          <w:sz w:val="24"/>
          <w:szCs w:val="24"/>
        </w:rPr>
        <w:t xml:space="preserve"> occurred since </w:t>
      </w:r>
      <w:r w:rsidR="00204E9B" w:rsidRPr="005311C6">
        <w:rPr>
          <w:rFonts w:ascii="Book Antiqua" w:hAnsi="Book Antiqua" w:cstheme="minorHAnsi"/>
          <w:color w:val="000000" w:themeColor="text1"/>
          <w:sz w:val="24"/>
          <w:szCs w:val="24"/>
        </w:rPr>
        <w:t xml:space="preserve">the end of World War II. </w:t>
      </w:r>
      <w:r w:rsidR="003B2A70" w:rsidRPr="005311C6">
        <w:rPr>
          <w:rFonts w:ascii="Book Antiqua" w:hAnsi="Book Antiqua" w:cstheme="minorHAnsi"/>
          <w:color w:val="000000" w:themeColor="text1"/>
          <w:sz w:val="24"/>
          <w:szCs w:val="24"/>
        </w:rPr>
        <w:t>Nevertheless</w:t>
      </w:r>
      <w:r w:rsidR="00605B10" w:rsidRPr="005311C6">
        <w:rPr>
          <w:rFonts w:ascii="Book Antiqua" w:hAnsi="Book Antiqua" w:cstheme="minorHAnsi"/>
          <w:color w:val="000000" w:themeColor="text1"/>
          <w:sz w:val="24"/>
          <w:szCs w:val="24"/>
        </w:rPr>
        <w:t>,</w:t>
      </w:r>
      <w:r w:rsidR="003B2A70" w:rsidRPr="005311C6">
        <w:rPr>
          <w:rFonts w:ascii="Book Antiqua" w:hAnsi="Book Antiqua" w:cstheme="minorHAnsi"/>
          <w:color w:val="000000" w:themeColor="text1"/>
          <w:sz w:val="24"/>
          <w:szCs w:val="24"/>
        </w:rPr>
        <w:t xml:space="preserve"> the basis for such evolution long predates the War and the prohibition of sexual violence and slavery were well accepted</w:t>
      </w:r>
      <w:r w:rsidR="00605B10" w:rsidRPr="005311C6">
        <w:rPr>
          <w:rFonts w:ascii="Book Antiqua" w:hAnsi="Book Antiqua" w:cstheme="minorHAnsi"/>
          <w:color w:val="000000" w:themeColor="text1"/>
          <w:sz w:val="24"/>
          <w:szCs w:val="24"/>
        </w:rPr>
        <w:t xml:space="preserve"> norms of international law. </w:t>
      </w:r>
      <w:r w:rsidR="003B2A70" w:rsidRPr="005311C6">
        <w:rPr>
          <w:rFonts w:ascii="Book Antiqua" w:hAnsi="Book Antiqua" w:cstheme="minorHAnsi"/>
          <w:color w:val="000000" w:themeColor="text1"/>
          <w:sz w:val="24"/>
          <w:szCs w:val="24"/>
        </w:rPr>
        <w:t xml:space="preserve">Further, the post-World War II </w:t>
      </w:r>
      <w:r w:rsidR="00204E9B" w:rsidRPr="005311C6">
        <w:rPr>
          <w:rFonts w:ascii="Book Antiqua" w:hAnsi="Book Antiqua" w:cstheme="minorHAnsi"/>
          <w:color w:val="000000" w:themeColor="text1"/>
          <w:sz w:val="24"/>
          <w:szCs w:val="24"/>
        </w:rPr>
        <w:t>normative developments are</w:t>
      </w:r>
      <w:r w:rsidR="003B2A70" w:rsidRPr="005311C6">
        <w:rPr>
          <w:rFonts w:ascii="Book Antiqua" w:hAnsi="Book Antiqua" w:cstheme="minorHAnsi"/>
          <w:color w:val="000000" w:themeColor="text1"/>
          <w:sz w:val="24"/>
          <w:szCs w:val="24"/>
        </w:rPr>
        <w:t xml:space="preserve"> </w:t>
      </w:r>
      <w:r w:rsidR="00204E9B" w:rsidRPr="005311C6">
        <w:rPr>
          <w:rFonts w:ascii="Book Antiqua" w:hAnsi="Book Antiqua" w:cstheme="minorHAnsi"/>
          <w:color w:val="000000" w:themeColor="text1"/>
          <w:sz w:val="24"/>
          <w:szCs w:val="24"/>
        </w:rPr>
        <w:t xml:space="preserve">important for </w:t>
      </w:r>
      <w:r w:rsidR="00605B10" w:rsidRPr="005311C6">
        <w:rPr>
          <w:rFonts w:ascii="Book Antiqua" w:hAnsi="Book Antiqua" w:cstheme="minorHAnsi"/>
          <w:color w:val="000000" w:themeColor="text1"/>
          <w:sz w:val="24"/>
          <w:szCs w:val="24"/>
        </w:rPr>
        <w:t xml:space="preserve">recognising the gendered obstacles women face in </w:t>
      </w:r>
      <w:r w:rsidR="00204E9B" w:rsidRPr="005311C6">
        <w:rPr>
          <w:rFonts w:ascii="Book Antiqua" w:hAnsi="Book Antiqua" w:cstheme="minorHAnsi"/>
          <w:color w:val="000000" w:themeColor="text1"/>
          <w:sz w:val="24"/>
          <w:szCs w:val="24"/>
        </w:rPr>
        <w:t>access</w:t>
      </w:r>
      <w:r w:rsidR="00605B10" w:rsidRPr="005311C6">
        <w:rPr>
          <w:rFonts w:ascii="Book Antiqua" w:hAnsi="Book Antiqua" w:cstheme="minorHAnsi"/>
          <w:color w:val="000000" w:themeColor="text1"/>
          <w:sz w:val="24"/>
          <w:szCs w:val="24"/>
        </w:rPr>
        <w:t xml:space="preserve">ing </w:t>
      </w:r>
      <w:r w:rsidR="00204E9B" w:rsidRPr="005311C6">
        <w:rPr>
          <w:rFonts w:ascii="Book Antiqua" w:hAnsi="Book Antiqua" w:cstheme="minorHAnsi"/>
          <w:color w:val="000000" w:themeColor="text1"/>
          <w:sz w:val="24"/>
          <w:szCs w:val="24"/>
        </w:rPr>
        <w:t>justice</w:t>
      </w:r>
      <w:r w:rsidR="00605B10" w:rsidRPr="005311C6">
        <w:rPr>
          <w:rFonts w:ascii="Book Antiqua" w:hAnsi="Book Antiqua" w:cstheme="minorHAnsi"/>
          <w:color w:val="000000" w:themeColor="text1"/>
          <w:sz w:val="24"/>
          <w:szCs w:val="24"/>
        </w:rPr>
        <w:t xml:space="preserve">, as well exemplified by the “comfort women’s” long struggle for justice. Failure to recognise this denies them the equal protection of the law </w:t>
      </w:r>
      <w:r w:rsidR="00204E9B" w:rsidRPr="005311C6">
        <w:rPr>
          <w:rFonts w:ascii="Book Antiqua" w:hAnsi="Book Antiqua" w:cstheme="minorHAnsi"/>
          <w:color w:val="000000" w:themeColor="text1"/>
          <w:sz w:val="24"/>
          <w:szCs w:val="24"/>
        </w:rPr>
        <w:t xml:space="preserve">and equality before the law in contemporary legal proceedings. </w:t>
      </w:r>
    </w:p>
    <w:p w14:paraId="0730F77A" w14:textId="77777777" w:rsidR="00855EF8" w:rsidRPr="003922C5" w:rsidRDefault="00855EF8" w:rsidP="00855EF8">
      <w:pPr>
        <w:pStyle w:val="ListParagraph"/>
        <w:rPr>
          <w:rFonts w:ascii="Book Antiqua" w:hAnsi="Book Antiqua" w:cstheme="minorHAnsi"/>
          <w:color w:val="000000" w:themeColor="text1"/>
          <w:sz w:val="24"/>
          <w:szCs w:val="24"/>
        </w:rPr>
      </w:pPr>
    </w:p>
    <w:p w14:paraId="7ECC4035" w14:textId="196D18A6" w:rsidR="00722797" w:rsidRDefault="00855EF8" w:rsidP="00EE330E">
      <w:pPr>
        <w:pStyle w:val="ListParagraph"/>
        <w:numPr>
          <w:ilvl w:val="0"/>
          <w:numId w:val="4"/>
        </w:numPr>
        <w:rPr>
          <w:rFonts w:ascii="Book Antiqua" w:hAnsi="Book Antiqua" w:cstheme="minorHAnsi"/>
          <w:b/>
          <w:bCs/>
          <w:color w:val="000000" w:themeColor="text1"/>
          <w:sz w:val="24"/>
          <w:szCs w:val="24"/>
        </w:rPr>
      </w:pPr>
      <w:r w:rsidRPr="003922C5">
        <w:rPr>
          <w:rFonts w:ascii="Book Antiqua" w:hAnsi="Book Antiqua" w:cstheme="minorHAnsi"/>
          <w:b/>
          <w:bCs/>
          <w:color w:val="000000" w:themeColor="text1"/>
          <w:sz w:val="24"/>
          <w:szCs w:val="24"/>
        </w:rPr>
        <w:t>State Immunity and Sexual Slavery</w:t>
      </w:r>
      <w:r w:rsidR="00E209FB">
        <w:rPr>
          <w:rFonts w:ascii="Book Antiqua" w:hAnsi="Book Antiqua" w:cstheme="minorHAnsi"/>
          <w:b/>
          <w:bCs/>
          <w:color w:val="000000" w:themeColor="text1"/>
          <w:sz w:val="24"/>
          <w:szCs w:val="24"/>
        </w:rPr>
        <w:t xml:space="preserve">: The Restrictive Doctrine  </w:t>
      </w:r>
      <w:r w:rsidRPr="003922C5">
        <w:rPr>
          <w:rFonts w:ascii="Book Antiqua" w:hAnsi="Book Antiqua" w:cstheme="minorHAnsi"/>
          <w:b/>
          <w:bCs/>
          <w:color w:val="000000" w:themeColor="text1"/>
          <w:sz w:val="24"/>
          <w:szCs w:val="24"/>
        </w:rPr>
        <w:t xml:space="preserve"> </w:t>
      </w:r>
    </w:p>
    <w:p w14:paraId="09575680" w14:textId="77777777" w:rsidR="00EE330E" w:rsidRPr="00EE330E" w:rsidRDefault="00EE330E" w:rsidP="00EE330E">
      <w:pPr>
        <w:pStyle w:val="ListParagraph"/>
        <w:ind w:left="1080"/>
        <w:rPr>
          <w:rFonts w:ascii="Book Antiqua" w:hAnsi="Book Antiqua" w:cstheme="minorHAnsi"/>
          <w:b/>
          <w:bCs/>
          <w:color w:val="000000" w:themeColor="text1"/>
          <w:sz w:val="24"/>
          <w:szCs w:val="24"/>
        </w:rPr>
      </w:pPr>
    </w:p>
    <w:p w14:paraId="13717CBC" w14:textId="77C08A22" w:rsidR="00B84357" w:rsidRPr="00EE330E" w:rsidRDefault="006F4F3C" w:rsidP="00EE330E">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sidRPr="00722797">
        <w:rPr>
          <w:rFonts w:ascii="Book Antiqua" w:hAnsi="Book Antiqua" w:cstheme="minorHAnsi"/>
          <w:color w:val="000000" w:themeColor="text1"/>
          <w:sz w:val="24"/>
          <w:szCs w:val="24"/>
        </w:rPr>
        <w:t>The basis of state immunity is the principle of equality between sovereign states</w:t>
      </w:r>
      <w:r w:rsidR="000B7D69">
        <w:rPr>
          <w:rFonts w:ascii="Book Antiqua" w:hAnsi="Book Antiqua" w:cstheme="minorHAnsi"/>
          <w:color w:val="000000" w:themeColor="text1"/>
          <w:sz w:val="24"/>
          <w:szCs w:val="24"/>
        </w:rPr>
        <w:t xml:space="preserve"> (</w:t>
      </w:r>
      <w:r w:rsidR="000B7D69" w:rsidRPr="000B7D69">
        <w:rPr>
          <w:rFonts w:ascii="Book Antiqua" w:hAnsi="Book Antiqua" w:cstheme="minorHAnsi"/>
          <w:i/>
          <w:iCs/>
          <w:color w:val="000000" w:themeColor="text1"/>
          <w:sz w:val="24"/>
          <w:szCs w:val="24"/>
        </w:rPr>
        <w:t xml:space="preserve">par in </w:t>
      </w:r>
      <w:proofErr w:type="spellStart"/>
      <w:r w:rsidR="000B7D69" w:rsidRPr="000B7D69">
        <w:rPr>
          <w:rFonts w:ascii="Book Antiqua" w:hAnsi="Book Antiqua" w:cstheme="minorHAnsi"/>
          <w:i/>
          <w:iCs/>
          <w:color w:val="000000" w:themeColor="text1"/>
          <w:sz w:val="24"/>
          <w:szCs w:val="24"/>
        </w:rPr>
        <w:t>parem</w:t>
      </w:r>
      <w:proofErr w:type="spellEnd"/>
      <w:r w:rsidR="000B7D69" w:rsidRPr="000B7D69">
        <w:rPr>
          <w:rFonts w:ascii="Book Antiqua" w:hAnsi="Book Antiqua" w:cstheme="minorHAnsi"/>
          <w:i/>
          <w:iCs/>
          <w:color w:val="000000" w:themeColor="text1"/>
          <w:sz w:val="24"/>
          <w:szCs w:val="24"/>
        </w:rPr>
        <w:t xml:space="preserve"> non </w:t>
      </w:r>
      <w:proofErr w:type="spellStart"/>
      <w:r w:rsidR="000B7D69" w:rsidRPr="000B7D69">
        <w:rPr>
          <w:rFonts w:ascii="Book Antiqua" w:hAnsi="Book Antiqua" w:cstheme="minorHAnsi"/>
          <w:i/>
          <w:iCs/>
          <w:color w:val="000000" w:themeColor="text1"/>
          <w:sz w:val="24"/>
          <w:szCs w:val="24"/>
        </w:rPr>
        <w:t>habet</w:t>
      </w:r>
      <w:proofErr w:type="spellEnd"/>
      <w:r w:rsidR="000B7D69" w:rsidRPr="000B7D69">
        <w:rPr>
          <w:rFonts w:ascii="Book Antiqua" w:hAnsi="Book Antiqua" w:cstheme="minorHAnsi"/>
          <w:i/>
          <w:iCs/>
          <w:color w:val="000000" w:themeColor="text1"/>
          <w:sz w:val="24"/>
          <w:szCs w:val="24"/>
        </w:rPr>
        <w:t xml:space="preserve"> imperium</w:t>
      </w:r>
      <w:r w:rsidR="000B7D69">
        <w:rPr>
          <w:rFonts w:ascii="Book Antiqua" w:hAnsi="Book Antiqua" w:cstheme="minorHAnsi"/>
          <w:color w:val="000000" w:themeColor="text1"/>
          <w:sz w:val="24"/>
          <w:szCs w:val="24"/>
        </w:rPr>
        <w:t>)</w:t>
      </w:r>
      <w:r w:rsidRPr="00722797">
        <w:rPr>
          <w:rFonts w:ascii="Book Antiqua" w:hAnsi="Book Antiqua" w:cstheme="minorHAnsi"/>
          <w:color w:val="000000" w:themeColor="text1"/>
          <w:sz w:val="24"/>
          <w:szCs w:val="24"/>
        </w:rPr>
        <w:t>.</w:t>
      </w:r>
      <w:r w:rsidR="009143AB">
        <w:rPr>
          <w:rStyle w:val="FootnoteReference"/>
          <w:rFonts w:ascii="Book Antiqua" w:hAnsi="Book Antiqua" w:cstheme="minorHAnsi"/>
          <w:color w:val="000000" w:themeColor="text1"/>
          <w:sz w:val="24"/>
          <w:szCs w:val="24"/>
        </w:rPr>
        <w:footnoteReference w:id="44"/>
      </w:r>
      <w:r w:rsidR="00BD75BB" w:rsidRPr="00EE330E">
        <w:rPr>
          <w:rFonts w:ascii="Book Antiqua" w:hAnsi="Book Antiqua" w:cstheme="minorHAnsi"/>
          <w:color w:val="000000" w:themeColor="text1"/>
          <w:sz w:val="24"/>
          <w:szCs w:val="24"/>
        </w:rPr>
        <w:t xml:space="preserve"> </w:t>
      </w:r>
      <w:r w:rsidR="00B84357" w:rsidRPr="00EE330E">
        <w:rPr>
          <w:rFonts w:ascii="Book Antiqua" w:hAnsi="Book Antiqua" w:cstheme="minorHAnsi"/>
          <w:color w:val="000000" w:themeColor="text1"/>
          <w:sz w:val="24"/>
          <w:szCs w:val="24"/>
        </w:rPr>
        <w:t>It is well established that state immunity has developed to encompass a number of restrictions and that it has moved away from being absolute in nature.</w:t>
      </w:r>
      <w:r w:rsidR="00B0679D">
        <w:rPr>
          <w:rStyle w:val="FootnoteReference"/>
          <w:rFonts w:ascii="Book Antiqua" w:hAnsi="Book Antiqua" w:cstheme="minorHAnsi"/>
          <w:color w:val="000000" w:themeColor="text1"/>
          <w:sz w:val="24"/>
          <w:szCs w:val="24"/>
        </w:rPr>
        <w:footnoteReference w:id="45"/>
      </w:r>
      <w:r w:rsidR="00B84357" w:rsidRPr="00EE330E">
        <w:rPr>
          <w:rFonts w:ascii="Book Antiqua" w:hAnsi="Book Antiqua" w:cstheme="minorHAnsi"/>
          <w:color w:val="000000" w:themeColor="text1"/>
          <w:sz w:val="24"/>
          <w:szCs w:val="24"/>
        </w:rPr>
        <w:t xml:space="preserve">  These exceptions relate to a broad range of acts conceived to be part of a private law character such as those acts which are for commercial purposes. The distinction is sometimes conceived as those arising out of activities which a state undertakes </w:t>
      </w:r>
      <w:r w:rsidR="00B84357" w:rsidRPr="00EE330E">
        <w:rPr>
          <w:rFonts w:ascii="Book Antiqua" w:hAnsi="Book Antiqua" w:cstheme="minorHAnsi"/>
          <w:i/>
          <w:iCs/>
          <w:color w:val="000000" w:themeColor="text1"/>
          <w:sz w:val="24"/>
          <w:szCs w:val="24"/>
        </w:rPr>
        <w:t xml:space="preserve">jure </w:t>
      </w:r>
      <w:proofErr w:type="spellStart"/>
      <w:r w:rsidR="00B84357" w:rsidRPr="00EE330E">
        <w:rPr>
          <w:rFonts w:ascii="Book Antiqua" w:hAnsi="Book Antiqua" w:cstheme="minorHAnsi"/>
          <w:i/>
          <w:iCs/>
          <w:color w:val="000000" w:themeColor="text1"/>
          <w:sz w:val="24"/>
          <w:szCs w:val="24"/>
        </w:rPr>
        <w:t>imperii</w:t>
      </w:r>
      <w:proofErr w:type="spellEnd"/>
      <w:r w:rsidR="00B84357" w:rsidRPr="00EE330E">
        <w:rPr>
          <w:rFonts w:ascii="Book Antiqua" w:hAnsi="Book Antiqua" w:cstheme="minorHAnsi"/>
          <w:color w:val="000000" w:themeColor="text1"/>
          <w:sz w:val="24"/>
          <w:szCs w:val="24"/>
        </w:rPr>
        <w:t xml:space="preserve">, in the exercise of sovereign authority, and activities which are undertaken </w:t>
      </w:r>
      <w:r w:rsidR="00B84357" w:rsidRPr="00EE330E">
        <w:rPr>
          <w:rFonts w:ascii="Book Antiqua" w:hAnsi="Book Antiqua" w:cstheme="minorHAnsi"/>
          <w:i/>
          <w:iCs/>
          <w:color w:val="000000" w:themeColor="text1"/>
          <w:sz w:val="24"/>
          <w:szCs w:val="24"/>
        </w:rPr>
        <w:t xml:space="preserve">jure </w:t>
      </w:r>
      <w:proofErr w:type="spellStart"/>
      <w:r w:rsidR="00B84357" w:rsidRPr="00EE330E">
        <w:rPr>
          <w:rFonts w:ascii="Book Antiqua" w:hAnsi="Book Antiqua" w:cstheme="minorHAnsi"/>
          <w:i/>
          <w:iCs/>
          <w:color w:val="000000" w:themeColor="text1"/>
          <w:sz w:val="24"/>
          <w:szCs w:val="24"/>
        </w:rPr>
        <w:t>gestionis</w:t>
      </w:r>
      <w:proofErr w:type="spellEnd"/>
      <w:r w:rsidR="00B84357" w:rsidRPr="00EE330E">
        <w:rPr>
          <w:rFonts w:ascii="Book Antiqua" w:hAnsi="Book Antiqua" w:cstheme="minorHAnsi"/>
          <w:color w:val="000000" w:themeColor="text1"/>
          <w:sz w:val="24"/>
          <w:szCs w:val="24"/>
        </w:rPr>
        <w:t>, which are acts that can be taken by private individuals.</w:t>
      </w:r>
    </w:p>
    <w:p w14:paraId="03CAE123" w14:textId="77777777" w:rsidR="00B84357" w:rsidRPr="00B84357" w:rsidRDefault="00B84357" w:rsidP="00B84357">
      <w:pPr>
        <w:pStyle w:val="ListParagraph"/>
        <w:rPr>
          <w:rFonts w:ascii="Book Antiqua" w:hAnsi="Book Antiqua" w:cstheme="minorHAnsi"/>
          <w:color w:val="000000" w:themeColor="text1"/>
          <w:sz w:val="24"/>
          <w:szCs w:val="24"/>
        </w:rPr>
      </w:pPr>
    </w:p>
    <w:p w14:paraId="031253C8" w14:textId="5EF9D719" w:rsidR="00722797" w:rsidRPr="002E11F4" w:rsidRDefault="006F4F3C" w:rsidP="002E11F4">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sidRPr="00722797">
        <w:rPr>
          <w:rFonts w:ascii="Book Antiqua" w:hAnsi="Book Antiqua" w:cstheme="minorHAnsi"/>
          <w:color w:val="000000" w:themeColor="text1"/>
          <w:sz w:val="24"/>
          <w:szCs w:val="24"/>
        </w:rPr>
        <w:t>In 2004 the General Assembly adopted the UN Convention on the Jurisdictional Immunities of States and their Property.  Japan has ratified the Convention and has enacted legislation giving it effect in national law.</w:t>
      </w:r>
      <w:r w:rsidR="003E5810" w:rsidRPr="00722797">
        <w:rPr>
          <w:rFonts w:ascii="Book Antiqua" w:hAnsi="Book Antiqua" w:cstheme="minorHAnsi"/>
          <w:color w:val="000000" w:themeColor="text1"/>
          <w:sz w:val="24"/>
          <w:szCs w:val="24"/>
        </w:rPr>
        <w:t xml:space="preserve">  </w:t>
      </w:r>
      <w:r w:rsidR="005C0092" w:rsidRPr="002E11F4">
        <w:rPr>
          <w:rFonts w:ascii="Book Antiqua" w:hAnsi="Book Antiqua" w:cstheme="minorHAnsi"/>
          <w:color w:val="000000" w:themeColor="text1"/>
          <w:sz w:val="24"/>
          <w:szCs w:val="24"/>
        </w:rPr>
        <w:t xml:space="preserve">The UN Convention </w:t>
      </w:r>
      <w:r w:rsidR="002E11F4">
        <w:rPr>
          <w:rFonts w:ascii="Book Antiqua" w:hAnsi="Book Antiqua" w:cstheme="minorHAnsi"/>
          <w:color w:val="000000" w:themeColor="text1"/>
          <w:sz w:val="24"/>
          <w:szCs w:val="24"/>
        </w:rPr>
        <w:t xml:space="preserve">sets out the restrictions to state immunity and </w:t>
      </w:r>
      <w:r w:rsidR="005C0092" w:rsidRPr="002E11F4">
        <w:rPr>
          <w:rFonts w:ascii="Book Antiqua" w:hAnsi="Book Antiqua" w:cstheme="minorHAnsi"/>
          <w:color w:val="000000" w:themeColor="text1"/>
          <w:sz w:val="24"/>
          <w:szCs w:val="24"/>
        </w:rPr>
        <w:t>provides a definition of commercial transaction, which includes ‘any commercial contract or transaction for the sale of goods or the supply of services’.</w:t>
      </w:r>
      <w:r w:rsidR="005C0092">
        <w:rPr>
          <w:rStyle w:val="FootnoteReference"/>
          <w:rFonts w:ascii="Book Antiqua" w:hAnsi="Book Antiqua" w:cstheme="minorHAnsi"/>
          <w:color w:val="000000" w:themeColor="text1"/>
          <w:sz w:val="24"/>
          <w:szCs w:val="24"/>
        </w:rPr>
        <w:footnoteReference w:id="46"/>
      </w:r>
      <w:r w:rsidR="005C0092" w:rsidRPr="002E11F4">
        <w:rPr>
          <w:rFonts w:ascii="Book Antiqua" w:hAnsi="Book Antiqua" w:cstheme="minorHAnsi"/>
          <w:color w:val="000000" w:themeColor="text1"/>
          <w:sz w:val="24"/>
          <w:szCs w:val="24"/>
        </w:rPr>
        <w:t xml:space="preserve"> Article 11 of the UN Convention also provides that a State cannot invoke immunity from jurisdiction before a court of </w:t>
      </w:r>
      <w:r w:rsidR="00BA21B2" w:rsidRPr="002E11F4">
        <w:rPr>
          <w:rFonts w:ascii="Book Antiqua" w:hAnsi="Book Antiqua" w:cstheme="minorHAnsi"/>
          <w:color w:val="000000" w:themeColor="text1"/>
          <w:sz w:val="24"/>
          <w:szCs w:val="24"/>
        </w:rPr>
        <w:t xml:space="preserve">another State which relates to a contract of employment between the State and an individual for work performed or to be performed, in whole or in part, in the territory of that other State. </w:t>
      </w:r>
    </w:p>
    <w:p w14:paraId="1A1B813F" w14:textId="77777777" w:rsidR="00B84357" w:rsidRPr="00B84357" w:rsidRDefault="00B84357" w:rsidP="00B84357">
      <w:pPr>
        <w:pStyle w:val="ListParagraph"/>
        <w:rPr>
          <w:rFonts w:ascii="Book Antiqua" w:hAnsi="Book Antiqua" w:cstheme="minorHAnsi"/>
          <w:color w:val="000000" w:themeColor="text1"/>
          <w:sz w:val="24"/>
          <w:szCs w:val="24"/>
        </w:rPr>
      </w:pPr>
    </w:p>
    <w:p w14:paraId="39306B07" w14:textId="7AF43591" w:rsidR="00EE330E" w:rsidRPr="00EE330E" w:rsidRDefault="00B84357" w:rsidP="00EE330E">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Pr>
          <w:rFonts w:ascii="Book Antiqua" w:hAnsi="Book Antiqua" w:cstheme="minorHAnsi"/>
          <w:color w:val="000000" w:themeColor="text1"/>
          <w:sz w:val="24"/>
          <w:szCs w:val="24"/>
        </w:rPr>
        <w:t xml:space="preserve">Article 12 of the UN Convention relates to personal injuries and damage to property and provides that a State cannot invoke immunity from jurisdiction which relates to pecuniary compensation for death or injury to the person, caused by an act or omission which is alleged to be attributable to the State, if the act or omission occurred in whole or part in the territory of that other State and if the author of the act or omission was present in that territory at the time of the act or omission. </w:t>
      </w:r>
    </w:p>
    <w:p w14:paraId="34945292" w14:textId="77777777" w:rsidR="00EE330E" w:rsidRPr="00EE330E" w:rsidRDefault="00EE330E" w:rsidP="00EE330E">
      <w:pPr>
        <w:pStyle w:val="ListParagraph"/>
        <w:spacing w:line="360" w:lineRule="auto"/>
        <w:ind w:left="714"/>
        <w:jc w:val="both"/>
        <w:rPr>
          <w:rFonts w:ascii="Book Antiqua" w:hAnsi="Book Antiqua" w:cstheme="minorHAnsi"/>
          <w:color w:val="000000" w:themeColor="text1"/>
          <w:sz w:val="24"/>
          <w:szCs w:val="24"/>
        </w:rPr>
      </w:pPr>
    </w:p>
    <w:p w14:paraId="29215D4C" w14:textId="640D70B4" w:rsidR="00B5313E" w:rsidRDefault="00722797" w:rsidP="00B5313E">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sidRPr="00722797">
        <w:rPr>
          <w:rFonts w:ascii="Book Antiqua" w:hAnsi="Book Antiqua" w:cstheme="minorHAnsi"/>
          <w:color w:val="000000" w:themeColor="text1"/>
          <w:sz w:val="24"/>
          <w:szCs w:val="24"/>
        </w:rPr>
        <w:t xml:space="preserve">Following a detailed analysis of the law on state immunity a member of the UK Supreme Court </w:t>
      </w:r>
      <w:r w:rsidR="00EE330E">
        <w:rPr>
          <w:rFonts w:ascii="Book Antiqua" w:hAnsi="Book Antiqua" w:cstheme="minorHAnsi"/>
          <w:color w:val="000000" w:themeColor="text1"/>
          <w:sz w:val="24"/>
          <w:szCs w:val="24"/>
        </w:rPr>
        <w:t>has helpfully summarised the current state of the law of state immunity in</w:t>
      </w:r>
      <w:r w:rsidR="00B5313E">
        <w:rPr>
          <w:rFonts w:ascii="Book Antiqua" w:hAnsi="Book Antiqua" w:cstheme="minorHAnsi"/>
          <w:color w:val="000000" w:themeColor="text1"/>
          <w:sz w:val="24"/>
          <w:szCs w:val="24"/>
        </w:rPr>
        <w:t xml:space="preserve"> </w:t>
      </w:r>
      <w:proofErr w:type="spellStart"/>
      <w:r w:rsidR="00B5313E" w:rsidRPr="00B5313E">
        <w:rPr>
          <w:rFonts w:ascii="Book Antiqua" w:hAnsi="Book Antiqua" w:cstheme="minorHAnsi"/>
          <w:i/>
          <w:iCs/>
          <w:color w:val="000000" w:themeColor="text1"/>
          <w:sz w:val="24"/>
          <w:szCs w:val="24"/>
        </w:rPr>
        <w:t>Benkharbouche</w:t>
      </w:r>
      <w:proofErr w:type="spellEnd"/>
      <w:r w:rsidR="00B5313E" w:rsidRPr="00B5313E">
        <w:rPr>
          <w:rFonts w:ascii="Book Antiqua" w:hAnsi="Book Antiqua" w:cstheme="minorHAnsi"/>
          <w:i/>
          <w:iCs/>
          <w:color w:val="000000" w:themeColor="text1"/>
          <w:sz w:val="24"/>
          <w:szCs w:val="24"/>
        </w:rPr>
        <w:t xml:space="preserve"> v Secretary of State for Foreign and Commonwealth Affairs and Libya</w:t>
      </w:r>
      <w:r w:rsidR="00B5313E">
        <w:rPr>
          <w:rFonts w:ascii="Book Antiqua" w:hAnsi="Book Antiqua" w:cstheme="minorHAnsi"/>
          <w:color w:val="000000" w:themeColor="text1"/>
          <w:sz w:val="24"/>
          <w:szCs w:val="24"/>
        </w:rPr>
        <w:t xml:space="preserve"> [2017] UKSC 62</w:t>
      </w:r>
      <w:r w:rsidRPr="00722797">
        <w:rPr>
          <w:rFonts w:ascii="Book Antiqua" w:hAnsi="Book Antiqua" w:cstheme="minorHAnsi"/>
          <w:color w:val="000000" w:themeColor="text1"/>
          <w:sz w:val="24"/>
          <w:szCs w:val="24"/>
        </w:rPr>
        <w:t>:</w:t>
      </w:r>
    </w:p>
    <w:p w14:paraId="0004E3FC" w14:textId="77777777" w:rsidR="00B5313E" w:rsidRPr="00B5313E" w:rsidRDefault="00B5313E" w:rsidP="00B5313E">
      <w:pPr>
        <w:pStyle w:val="ListParagraph"/>
        <w:rPr>
          <w:rFonts w:ascii="Book Antiqua" w:hAnsi="Book Antiqua" w:cstheme="minorHAnsi"/>
          <w:color w:val="000000" w:themeColor="text1"/>
          <w:sz w:val="24"/>
          <w:szCs w:val="24"/>
        </w:rPr>
      </w:pPr>
    </w:p>
    <w:p w14:paraId="48D31C64" w14:textId="5392D608" w:rsidR="002E11F4" w:rsidRDefault="00722797" w:rsidP="002E11F4">
      <w:pPr>
        <w:pStyle w:val="ListParagraph"/>
        <w:spacing w:line="360" w:lineRule="auto"/>
        <w:ind w:left="1440"/>
        <w:jc w:val="both"/>
        <w:rPr>
          <w:rFonts w:ascii="Book Antiqua" w:hAnsi="Book Antiqua" w:cstheme="minorHAnsi"/>
          <w:color w:val="000000" w:themeColor="text1"/>
          <w:sz w:val="24"/>
          <w:szCs w:val="24"/>
        </w:rPr>
      </w:pPr>
      <w:r w:rsidRPr="00B5313E">
        <w:rPr>
          <w:rFonts w:ascii="Book Antiqua" w:hAnsi="Book Antiqua" w:cstheme="minorHAnsi"/>
          <w:color w:val="000000" w:themeColor="text1"/>
          <w:sz w:val="24"/>
          <w:szCs w:val="24"/>
        </w:rPr>
        <w:t>Three points can be derived from this history. The first is that there has probably never been a sufficient international consensus in favour of the absolute doctrine of immunity to warrant treating it as a rule of customary international law. All that can be said is that during certain periods, a substantial number of states, but not necessarily a majority, have adopted the absolute doctrine as part of their domestic law. Some of them have done so on the assumption that it represented international law, but without any real investigation of the rule recognised in other states. Secondly, while there has for at least two centuries been a consensus among nations in favour of some form of state immunity, the only consensus that there has ever been about the scope of that immunity is the consensus in favour of the restrictive doctrine. Thirdly, the adoption of the restrictive doctrine has not proceeded by accumulating exceptions to the absolute doctrine. What has happened is that governments, courts and writers of authority have been prompted by the widening scope of state operations and their extension into commerce and industry, to re-examine the true basis of a doctrine originally formulated at a time when states by and large confined their operations in other countries to the classic exercises of sovereign authority. The true basis of the doctrine was and is the equality of sovereigns, and that never did warrant immunity extending beyond what sovereigns did in their capacity as such</w:t>
      </w:r>
      <w:r w:rsidR="00B5313E">
        <w:rPr>
          <w:rFonts w:ascii="Book Antiqua" w:hAnsi="Book Antiqua" w:cstheme="minorHAnsi"/>
          <w:color w:val="000000" w:themeColor="text1"/>
          <w:sz w:val="24"/>
          <w:szCs w:val="24"/>
        </w:rPr>
        <w:t>.</w:t>
      </w:r>
      <w:r w:rsidR="002E11F4">
        <w:rPr>
          <w:rStyle w:val="FootnoteReference"/>
          <w:rFonts w:ascii="Book Antiqua" w:hAnsi="Book Antiqua" w:cstheme="minorHAnsi"/>
          <w:color w:val="000000" w:themeColor="text1"/>
          <w:sz w:val="24"/>
          <w:szCs w:val="24"/>
        </w:rPr>
        <w:footnoteReference w:id="47"/>
      </w:r>
      <w:r w:rsidR="00B5313E">
        <w:rPr>
          <w:rFonts w:ascii="Book Antiqua" w:hAnsi="Book Antiqua" w:cstheme="minorHAnsi"/>
          <w:color w:val="000000" w:themeColor="text1"/>
          <w:sz w:val="24"/>
          <w:szCs w:val="24"/>
        </w:rPr>
        <w:t xml:space="preserve"> </w:t>
      </w:r>
    </w:p>
    <w:p w14:paraId="4329CDE4" w14:textId="77777777" w:rsidR="002E11F4" w:rsidRPr="002E11F4" w:rsidRDefault="002E11F4" w:rsidP="002E11F4">
      <w:pPr>
        <w:spacing w:line="360" w:lineRule="auto"/>
        <w:jc w:val="both"/>
        <w:rPr>
          <w:rFonts w:ascii="Book Antiqua" w:hAnsi="Book Antiqua" w:cstheme="minorHAnsi"/>
          <w:color w:val="000000" w:themeColor="text1"/>
          <w:sz w:val="24"/>
          <w:szCs w:val="24"/>
        </w:rPr>
      </w:pPr>
    </w:p>
    <w:p w14:paraId="48996713" w14:textId="06DC048D" w:rsidR="00777C18" w:rsidRPr="00777C18" w:rsidRDefault="00777C18" w:rsidP="00DC24AA">
      <w:pPr>
        <w:pStyle w:val="ListParagraph"/>
        <w:numPr>
          <w:ilvl w:val="0"/>
          <w:numId w:val="1"/>
        </w:numPr>
        <w:spacing w:line="360" w:lineRule="auto"/>
        <w:ind w:left="714" w:hanging="357"/>
        <w:jc w:val="both"/>
        <w:rPr>
          <w:rFonts w:ascii="Book Antiqua" w:hAnsi="Book Antiqua" w:cstheme="minorHAnsi"/>
          <w:b/>
          <w:bCs/>
          <w:color w:val="000000" w:themeColor="text1"/>
          <w:sz w:val="24"/>
          <w:szCs w:val="24"/>
          <w:shd w:val="clear" w:color="auto" w:fill="FFFFFF"/>
        </w:rPr>
      </w:pPr>
      <w:r>
        <w:rPr>
          <w:rFonts w:ascii="Book Antiqua" w:hAnsi="Book Antiqua" w:cstheme="minorHAnsi"/>
          <w:color w:val="000000" w:themeColor="text1"/>
          <w:sz w:val="24"/>
          <w:szCs w:val="24"/>
          <w:shd w:val="clear" w:color="auto" w:fill="FFFFFF"/>
        </w:rPr>
        <w:t>The Supreme Court rejected the submission that customary international law must require the United Kingdom to treat Libya and Sudan as immune, finding that this was too broad a formulation of customary international law. Instead the Court held that ‘The rule of customary international law is that a state is entitled to immunity only in respect of acts done in the exercise of sovereign authority’.</w:t>
      </w:r>
      <w:r w:rsidR="002E11F4">
        <w:rPr>
          <w:rStyle w:val="FootnoteReference"/>
          <w:rFonts w:ascii="Book Antiqua" w:hAnsi="Book Antiqua" w:cstheme="minorHAnsi"/>
          <w:color w:val="000000" w:themeColor="text1"/>
          <w:sz w:val="24"/>
          <w:szCs w:val="24"/>
          <w:shd w:val="clear" w:color="auto" w:fill="FFFFFF"/>
        </w:rPr>
        <w:footnoteReference w:id="48"/>
      </w:r>
      <w:r>
        <w:rPr>
          <w:rFonts w:ascii="Book Antiqua" w:hAnsi="Book Antiqua" w:cstheme="minorHAnsi"/>
          <w:color w:val="000000" w:themeColor="text1"/>
          <w:sz w:val="24"/>
          <w:szCs w:val="24"/>
          <w:shd w:val="clear" w:color="auto" w:fill="FFFFFF"/>
        </w:rPr>
        <w:t xml:space="preserve"> The court also found following a review of state practice in common law and civil law countries that ‘Today, the international consensus in favour of the restrictive doctrine is almost complete’ </w:t>
      </w:r>
      <w:r w:rsidR="00DC762E">
        <w:rPr>
          <w:rFonts w:ascii="Book Antiqua" w:hAnsi="Book Antiqua" w:cstheme="minorHAnsi"/>
          <w:color w:val="000000" w:themeColor="text1"/>
          <w:sz w:val="24"/>
          <w:szCs w:val="24"/>
          <w:shd w:val="clear" w:color="auto" w:fill="FFFFFF"/>
        </w:rPr>
        <w:t>.</w:t>
      </w:r>
      <w:r w:rsidR="002E11F4">
        <w:rPr>
          <w:rStyle w:val="FootnoteReference"/>
          <w:rFonts w:ascii="Book Antiqua" w:hAnsi="Book Antiqua" w:cstheme="minorHAnsi"/>
          <w:color w:val="000000" w:themeColor="text1"/>
          <w:sz w:val="24"/>
          <w:szCs w:val="24"/>
          <w:shd w:val="clear" w:color="auto" w:fill="FFFFFF"/>
        </w:rPr>
        <w:footnoteReference w:id="49"/>
      </w:r>
    </w:p>
    <w:p w14:paraId="2CE291BE" w14:textId="77777777" w:rsidR="00777C18" w:rsidRPr="00777C18" w:rsidRDefault="00777C18" w:rsidP="00777C18">
      <w:pPr>
        <w:pStyle w:val="ListParagraph"/>
        <w:spacing w:line="360" w:lineRule="auto"/>
        <w:ind w:left="714"/>
        <w:jc w:val="both"/>
        <w:rPr>
          <w:rFonts w:ascii="Book Antiqua" w:hAnsi="Book Antiqua" w:cstheme="minorHAnsi"/>
          <w:b/>
          <w:bCs/>
          <w:color w:val="000000" w:themeColor="text1"/>
          <w:sz w:val="24"/>
          <w:szCs w:val="24"/>
          <w:shd w:val="clear" w:color="auto" w:fill="FFFFFF"/>
        </w:rPr>
      </w:pPr>
    </w:p>
    <w:p w14:paraId="2971B379" w14:textId="1556706E" w:rsidR="00CA55D8" w:rsidRPr="00047A50" w:rsidRDefault="00CA55D8" w:rsidP="00DC24AA">
      <w:pPr>
        <w:pStyle w:val="ListParagraph"/>
        <w:numPr>
          <w:ilvl w:val="0"/>
          <w:numId w:val="1"/>
        </w:numPr>
        <w:spacing w:line="360" w:lineRule="auto"/>
        <w:ind w:left="714" w:hanging="357"/>
        <w:jc w:val="both"/>
        <w:rPr>
          <w:rFonts w:ascii="Book Antiqua" w:hAnsi="Book Antiqua" w:cstheme="minorHAnsi"/>
          <w:b/>
          <w:bCs/>
          <w:color w:val="000000" w:themeColor="text1"/>
          <w:sz w:val="24"/>
          <w:szCs w:val="24"/>
          <w:shd w:val="clear" w:color="auto" w:fill="FFFFFF"/>
        </w:rPr>
      </w:pPr>
      <w:r w:rsidRPr="003922C5">
        <w:rPr>
          <w:rFonts w:ascii="Book Antiqua" w:hAnsi="Book Antiqua" w:cstheme="minorHAnsi"/>
          <w:color w:val="000000" w:themeColor="text1"/>
          <w:sz w:val="24"/>
          <w:szCs w:val="24"/>
        </w:rPr>
        <w:t xml:space="preserve">A UK case on state immunity is not of course directly relevant to proceedings in the Republic of Korea but the case is important for its detailed analysis of state immunity in national jurisdictions and its rejection of closed categories of exceptions to absolute immunity in favour of exploring the nature of sovereign acts and of the situation of the claimant in a particular case. </w:t>
      </w:r>
      <w:r w:rsidR="00DC24AA">
        <w:rPr>
          <w:rFonts w:ascii="Book Antiqua" w:hAnsi="Book Antiqua" w:cstheme="minorHAnsi"/>
          <w:color w:val="000000" w:themeColor="text1"/>
          <w:sz w:val="24"/>
          <w:szCs w:val="24"/>
        </w:rPr>
        <w:t xml:space="preserve">It is also an example of state practice. </w:t>
      </w:r>
      <w:r w:rsidR="008732B7">
        <w:rPr>
          <w:rFonts w:ascii="Book Antiqua" w:hAnsi="Book Antiqua" w:cstheme="minorHAnsi"/>
          <w:color w:val="000000" w:themeColor="text1"/>
          <w:sz w:val="24"/>
          <w:szCs w:val="24"/>
        </w:rPr>
        <w:t>In that case the employment of Moroccan women by diplomatic staff in Libya and Sudan was found not to form an exercise of sovereign authority, and ‘nothing about their alleged treatment engaged sovereign interests of their employers’.</w:t>
      </w:r>
      <w:r w:rsidR="006C0DFA">
        <w:rPr>
          <w:rStyle w:val="FootnoteReference"/>
          <w:rFonts w:ascii="Book Antiqua" w:hAnsi="Book Antiqua" w:cstheme="minorHAnsi"/>
          <w:color w:val="000000" w:themeColor="text1"/>
          <w:sz w:val="24"/>
          <w:szCs w:val="24"/>
        </w:rPr>
        <w:footnoteReference w:id="50"/>
      </w:r>
      <w:r w:rsidR="008732B7">
        <w:rPr>
          <w:rFonts w:ascii="Book Antiqua" w:hAnsi="Book Antiqua" w:cstheme="minorHAnsi"/>
          <w:color w:val="000000" w:themeColor="text1"/>
          <w:sz w:val="24"/>
          <w:szCs w:val="24"/>
        </w:rPr>
        <w:t xml:space="preserve"> </w:t>
      </w:r>
      <w:r w:rsidR="00BB021C">
        <w:rPr>
          <w:rFonts w:ascii="Book Antiqua" w:hAnsi="Book Antiqua" w:cstheme="minorHAnsi"/>
          <w:color w:val="000000" w:themeColor="text1"/>
          <w:sz w:val="24"/>
          <w:szCs w:val="24"/>
        </w:rPr>
        <w:t>The Court found that as a matter of customary international law, Sudan and Libya were not entitled to immunity as regards the claims of ill-treatment</w:t>
      </w:r>
      <w:r w:rsidR="006C0DFA">
        <w:rPr>
          <w:rFonts w:ascii="Book Antiqua" w:hAnsi="Book Antiqua" w:cstheme="minorHAnsi"/>
          <w:color w:val="000000" w:themeColor="text1"/>
          <w:sz w:val="24"/>
          <w:szCs w:val="24"/>
        </w:rPr>
        <w:t xml:space="preserve"> towards the employees. </w:t>
      </w:r>
    </w:p>
    <w:p w14:paraId="249D2BA9" w14:textId="77777777" w:rsidR="00047A50" w:rsidRPr="00047A50" w:rsidRDefault="00047A50" w:rsidP="00047A50">
      <w:pPr>
        <w:pStyle w:val="ListParagraph"/>
        <w:spacing w:line="360" w:lineRule="auto"/>
        <w:ind w:left="714"/>
        <w:jc w:val="both"/>
        <w:rPr>
          <w:rFonts w:ascii="Book Antiqua" w:hAnsi="Book Antiqua" w:cstheme="minorHAnsi"/>
          <w:b/>
          <w:bCs/>
          <w:color w:val="000000" w:themeColor="text1"/>
          <w:sz w:val="24"/>
          <w:szCs w:val="24"/>
          <w:shd w:val="clear" w:color="auto" w:fill="FFFFFF"/>
        </w:rPr>
      </w:pPr>
    </w:p>
    <w:p w14:paraId="4861D3EC" w14:textId="67DF6CAF" w:rsidR="001E7A0B" w:rsidRPr="00EE330E" w:rsidRDefault="00047A50" w:rsidP="00EE330E">
      <w:pPr>
        <w:pStyle w:val="ListParagraph"/>
        <w:numPr>
          <w:ilvl w:val="0"/>
          <w:numId w:val="1"/>
        </w:numPr>
        <w:spacing w:line="360" w:lineRule="auto"/>
        <w:ind w:left="714" w:hanging="357"/>
        <w:jc w:val="both"/>
        <w:rPr>
          <w:rFonts w:ascii="Book Antiqua" w:hAnsi="Book Antiqua" w:cstheme="minorHAnsi"/>
          <w:b/>
          <w:bCs/>
          <w:color w:val="000000" w:themeColor="text1"/>
          <w:sz w:val="24"/>
          <w:szCs w:val="24"/>
          <w:shd w:val="clear" w:color="auto" w:fill="FFFFFF"/>
        </w:rPr>
      </w:pPr>
      <w:r>
        <w:rPr>
          <w:rFonts w:ascii="Book Antiqua" w:hAnsi="Book Antiqua" w:cstheme="minorHAnsi"/>
          <w:color w:val="000000" w:themeColor="text1"/>
          <w:sz w:val="24"/>
          <w:szCs w:val="24"/>
        </w:rPr>
        <w:t xml:space="preserve">More recently in </w:t>
      </w:r>
      <w:r w:rsidRPr="00047A50">
        <w:rPr>
          <w:rFonts w:ascii="Book Antiqua" w:hAnsi="Book Antiqua" w:cstheme="minorHAnsi"/>
          <w:i/>
          <w:iCs/>
          <w:color w:val="000000" w:themeColor="text1"/>
          <w:sz w:val="24"/>
          <w:szCs w:val="24"/>
        </w:rPr>
        <w:t>Reyes v Al-Malki</w:t>
      </w:r>
      <w:r>
        <w:rPr>
          <w:rFonts w:ascii="Book Antiqua" w:hAnsi="Book Antiqua" w:cstheme="minorHAnsi"/>
          <w:color w:val="000000" w:themeColor="text1"/>
          <w:sz w:val="24"/>
          <w:szCs w:val="24"/>
        </w:rPr>
        <w:t>,</w:t>
      </w:r>
      <w:r w:rsidR="00786DF2">
        <w:rPr>
          <w:rStyle w:val="FootnoteReference"/>
          <w:rFonts w:ascii="Book Antiqua" w:hAnsi="Book Antiqua" w:cstheme="minorHAnsi"/>
          <w:color w:val="000000" w:themeColor="text1"/>
          <w:sz w:val="24"/>
          <w:szCs w:val="24"/>
        </w:rPr>
        <w:footnoteReference w:id="51"/>
      </w:r>
      <w:r>
        <w:rPr>
          <w:rFonts w:ascii="Book Antiqua" w:hAnsi="Book Antiqua" w:cstheme="minorHAnsi"/>
          <w:color w:val="000000" w:themeColor="text1"/>
          <w:sz w:val="24"/>
          <w:szCs w:val="24"/>
        </w:rPr>
        <w:t xml:space="preserve"> the UK Supreme Court considered the implications of human trafficking for the scope of diplomatic immunity. </w:t>
      </w:r>
      <w:r w:rsidR="00786DF2">
        <w:rPr>
          <w:rFonts w:ascii="Book Antiqua" w:hAnsi="Book Antiqua" w:cstheme="minorHAnsi"/>
          <w:color w:val="000000" w:themeColor="text1"/>
          <w:sz w:val="24"/>
          <w:szCs w:val="24"/>
        </w:rPr>
        <w:t xml:space="preserve">Professor Philippa Webb and Rosana </w:t>
      </w:r>
      <w:proofErr w:type="spellStart"/>
      <w:r w:rsidR="00786DF2">
        <w:rPr>
          <w:rFonts w:ascii="Book Antiqua" w:hAnsi="Book Antiqua" w:cstheme="minorHAnsi"/>
          <w:color w:val="000000" w:themeColor="text1"/>
          <w:sz w:val="24"/>
          <w:szCs w:val="24"/>
        </w:rPr>
        <w:t>Garciandia</w:t>
      </w:r>
      <w:proofErr w:type="spellEnd"/>
      <w:r w:rsidR="00786DF2">
        <w:rPr>
          <w:rFonts w:ascii="Book Antiqua" w:hAnsi="Book Antiqua" w:cstheme="minorHAnsi"/>
          <w:color w:val="000000" w:themeColor="text1"/>
          <w:sz w:val="24"/>
          <w:szCs w:val="24"/>
        </w:rPr>
        <w:t xml:space="preserve"> have argued that the case ‘opens up an avenue to considering the trafficking and exploitation of the domestic worker to fall within the ‘commercial or professional activity exception’ to diplomatic immunity (Article 31(1)(c) of the Vienna Convention on Diplomatic Relations).’</w:t>
      </w:r>
      <w:r w:rsidR="00786DF2">
        <w:rPr>
          <w:rStyle w:val="FootnoteReference"/>
          <w:rFonts w:ascii="Book Antiqua" w:hAnsi="Book Antiqua" w:cstheme="minorHAnsi"/>
          <w:color w:val="000000" w:themeColor="text1"/>
          <w:sz w:val="24"/>
          <w:szCs w:val="24"/>
        </w:rPr>
        <w:footnoteReference w:id="52"/>
      </w:r>
      <w:r w:rsidR="00786DF2">
        <w:rPr>
          <w:rFonts w:ascii="Book Antiqua" w:hAnsi="Book Antiqua" w:cstheme="minorHAnsi"/>
          <w:color w:val="000000" w:themeColor="text1"/>
          <w:sz w:val="24"/>
          <w:szCs w:val="24"/>
        </w:rPr>
        <w:t xml:space="preserve">  The authors encourage domestic courts to consider the application of exceptions to State immunity from jurisdiction when there are credible allegations of the involvement of a public official or body in modern slavery. </w:t>
      </w:r>
    </w:p>
    <w:p w14:paraId="7A86457E" w14:textId="77777777" w:rsidR="00CA55D8" w:rsidRPr="00EE330E" w:rsidRDefault="00CA55D8" w:rsidP="00CA55D8">
      <w:pPr>
        <w:pStyle w:val="ListParagraph"/>
        <w:rPr>
          <w:rFonts w:cstheme="minorHAnsi"/>
          <w:sz w:val="24"/>
          <w:szCs w:val="24"/>
        </w:rPr>
      </w:pPr>
    </w:p>
    <w:p w14:paraId="3FEE2001" w14:textId="22B4FF1A" w:rsidR="006F4F3C" w:rsidRPr="006C0DFA" w:rsidRDefault="00DA131B" w:rsidP="006C0DFA">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Pr>
          <w:rFonts w:ascii="Book Antiqua" w:hAnsi="Book Antiqua" w:cstheme="minorHAnsi"/>
          <w:color w:val="000000" w:themeColor="text1"/>
          <w:sz w:val="24"/>
          <w:szCs w:val="24"/>
        </w:rPr>
        <w:t>The question in this case is whether Japan can avail itself of state immunity or whether it is restricted from doing so on the basis that the comfort women system constituted a form of commercial activity</w:t>
      </w:r>
      <w:r w:rsidR="00370110">
        <w:rPr>
          <w:rFonts w:ascii="Book Antiqua" w:hAnsi="Book Antiqua" w:cstheme="minorHAnsi"/>
          <w:color w:val="000000" w:themeColor="text1"/>
          <w:sz w:val="24"/>
          <w:szCs w:val="24"/>
        </w:rPr>
        <w:t xml:space="preserve"> or transaction, torts resulting in personal injury</w:t>
      </w:r>
      <w:r>
        <w:rPr>
          <w:rFonts w:ascii="Book Antiqua" w:hAnsi="Book Antiqua" w:cstheme="minorHAnsi"/>
          <w:color w:val="000000" w:themeColor="text1"/>
          <w:sz w:val="24"/>
          <w:szCs w:val="24"/>
        </w:rPr>
        <w:t xml:space="preserve"> or an employment relationship.</w:t>
      </w:r>
      <w:r w:rsidR="00DC762E">
        <w:rPr>
          <w:rFonts w:ascii="Book Antiqua" w:hAnsi="Book Antiqua" w:cstheme="minorHAnsi"/>
          <w:color w:val="000000" w:themeColor="text1"/>
          <w:sz w:val="24"/>
          <w:szCs w:val="24"/>
        </w:rPr>
        <w:t xml:space="preserve"> </w:t>
      </w:r>
      <w:r w:rsidR="00DC762E" w:rsidRPr="006C0DFA">
        <w:rPr>
          <w:rFonts w:ascii="Book Antiqua" w:hAnsi="Book Antiqua" w:cstheme="minorHAnsi"/>
          <w:color w:val="000000" w:themeColor="text1"/>
          <w:sz w:val="24"/>
          <w:szCs w:val="24"/>
        </w:rPr>
        <w:t xml:space="preserve">Commercial transactions under international law confine state immunity to exercises of </w:t>
      </w:r>
      <w:r w:rsidR="00080973" w:rsidRPr="006C0DFA">
        <w:rPr>
          <w:rFonts w:ascii="Book Antiqua" w:hAnsi="Book Antiqua" w:cstheme="minorHAnsi"/>
          <w:color w:val="000000" w:themeColor="text1"/>
          <w:sz w:val="24"/>
          <w:szCs w:val="24"/>
        </w:rPr>
        <w:t>sovereign</w:t>
      </w:r>
      <w:r w:rsidR="00DC762E" w:rsidRPr="006C0DFA">
        <w:rPr>
          <w:rFonts w:ascii="Book Antiqua" w:hAnsi="Book Antiqua" w:cstheme="minorHAnsi"/>
          <w:color w:val="000000" w:themeColor="text1"/>
          <w:sz w:val="24"/>
          <w:szCs w:val="24"/>
        </w:rPr>
        <w:t xml:space="preserve"> authority. </w:t>
      </w:r>
      <w:r w:rsidR="00EE330E" w:rsidRPr="006C0DFA">
        <w:rPr>
          <w:rFonts w:ascii="Book Antiqua" w:hAnsi="Book Antiqua" w:cstheme="minorHAnsi"/>
          <w:color w:val="000000" w:themeColor="text1"/>
          <w:sz w:val="24"/>
          <w:szCs w:val="24"/>
        </w:rPr>
        <w:t>Similarly</w:t>
      </w:r>
      <w:r w:rsidR="00C27F5E" w:rsidRPr="006C0DFA">
        <w:rPr>
          <w:rFonts w:ascii="Book Antiqua" w:hAnsi="Book Antiqua" w:cstheme="minorHAnsi"/>
          <w:color w:val="000000" w:themeColor="text1"/>
          <w:sz w:val="24"/>
          <w:szCs w:val="24"/>
        </w:rPr>
        <w:t>,</w:t>
      </w:r>
      <w:r w:rsidR="00EE330E" w:rsidRPr="006C0DFA">
        <w:rPr>
          <w:rFonts w:ascii="Book Antiqua" w:hAnsi="Book Antiqua" w:cstheme="minorHAnsi"/>
          <w:color w:val="000000" w:themeColor="text1"/>
          <w:sz w:val="24"/>
          <w:szCs w:val="24"/>
        </w:rPr>
        <w:t xml:space="preserve"> the employment relationship exception depends upon the nature of the employment function</w:t>
      </w:r>
      <w:r w:rsidR="006C0DFA">
        <w:rPr>
          <w:rFonts w:ascii="Book Antiqua" w:hAnsi="Book Antiqua" w:cstheme="minorHAnsi"/>
          <w:color w:val="000000" w:themeColor="text1"/>
          <w:sz w:val="24"/>
          <w:szCs w:val="24"/>
        </w:rPr>
        <w:t xml:space="preserve"> and whether it is in the exercise of a sovereign function</w:t>
      </w:r>
      <w:r w:rsidR="00EE330E" w:rsidRPr="006C0DFA">
        <w:rPr>
          <w:rFonts w:ascii="Book Antiqua" w:hAnsi="Book Antiqua" w:cstheme="minorHAnsi"/>
          <w:color w:val="000000" w:themeColor="text1"/>
          <w:sz w:val="24"/>
          <w:szCs w:val="24"/>
        </w:rPr>
        <w:t>.</w:t>
      </w:r>
      <w:r w:rsidR="00CE3C01">
        <w:rPr>
          <w:rStyle w:val="FootnoteReference"/>
          <w:rFonts w:ascii="Book Antiqua" w:hAnsi="Book Antiqua" w:cstheme="minorHAnsi"/>
          <w:color w:val="000000" w:themeColor="text1"/>
          <w:sz w:val="24"/>
          <w:szCs w:val="24"/>
        </w:rPr>
        <w:footnoteReference w:id="53"/>
      </w:r>
      <w:r w:rsidR="00EE330E" w:rsidRPr="006C0DFA">
        <w:rPr>
          <w:rFonts w:ascii="Book Antiqua" w:hAnsi="Book Antiqua" w:cstheme="minorHAnsi"/>
          <w:color w:val="000000" w:themeColor="text1"/>
          <w:sz w:val="24"/>
          <w:szCs w:val="24"/>
        </w:rPr>
        <w:t xml:space="preserve"> </w:t>
      </w:r>
      <w:r w:rsidR="00DC762E" w:rsidRPr="006C0DFA">
        <w:rPr>
          <w:rFonts w:ascii="Book Antiqua" w:hAnsi="Book Antiqua" w:cstheme="minorHAnsi"/>
          <w:color w:val="000000" w:themeColor="text1"/>
          <w:sz w:val="24"/>
          <w:szCs w:val="24"/>
        </w:rPr>
        <w:t xml:space="preserve">The closer the employment tasks are to the governmental functions </w:t>
      </w:r>
      <w:r w:rsidR="006C0DFA">
        <w:rPr>
          <w:rFonts w:ascii="Book Antiqua" w:hAnsi="Book Antiqua" w:cstheme="minorHAnsi"/>
          <w:color w:val="000000" w:themeColor="text1"/>
          <w:sz w:val="24"/>
          <w:szCs w:val="24"/>
        </w:rPr>
        <w:t>of the state,</w:t>
      </w:r>
      <w:r w:rsidR="00DC762E" w:rsidRPr="006C0DFA">
        <w:rPr>
          <w:rFonts w:ascii="Book Antiqua" w:hAnsi="Book Antiqua" w:cstheme="minorHAnsi"/>
          <w:color w:val="000000" w:themeColor="text1"/>
          <w:sz w:val="24"/>
          <w:szCs w:val="24"/>
        </w:rPr>
        <w:t xml:space="preserve"> the more likely that it has a public law rather than a private law character. </w:t>
      </w:r>
    </w:p>
    <w:p w14:paraId="3E2423A5" w14:textId="77777777" w:rsidR="00E209FB" w:rsidRPr="00E209FB" w:rsidRDefault="00E209FB" w:rsidP="00E209FB">
      <w:pPr>
        <w:pStyle w:val="ListParagraph"/>
        <w:rPr>
          <w:rFonts w:ascii="Book Antiqua" w:hAnsi="Book Antiqua" w:cstheme="minorHAnsi"/>
          <w:color w:val="000000" w:themeColor="text1"/>
          <w:sz w:val="24"/>
          <w:szCs w:val="24"/>
        </w:rPr>
      </w:pPr>
    </w:p>
    <w:p w14:paraId="72C83BB1" w14:textId="540D8B1E" w:rsidR="001B5C4C" w:rsidRDefault="00E209FB" w:rsidP="00DF7986">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Pr>
          <w:rFonts w:ascii="Book Antiqua" w:hAnsi="Book Antiqua" w:cstheme="minorHAnsi"/>
          <w:color w:val="000000" w:themeColor="text1"/>
          <w:sz w:val="24"/>
          <w:szCs w:val="24"/>
        </w:rPr>
        <w:t xml:space="preserve">The ‘comfort women’ system of sexual slavery involved the trafficking and enforced prostitution of Korean women. As the </w:t>
      </w:r>
      <w:proofErr w:type="spellStart"/>
      <w:r>
        <w:rPr>
          <w:rFonts w:ascii="Book Antiqua" w:hAnsi="Book Antiqua" w:cstheme="minorHAnsi"/>
          <w:color w:val="000000" w:themeColor="text1"/>
          <w:sz w:val="24"/>
          <w:szCs w:val="24"/>
        </w:rPr>
        <w:t>Coomarswamy</w:t>
      </w:r>
      <w:proofErr w:type="spellEnd"/>
      <w:r>
        <w:rPr>
          <w:rFonts w:ascii="Book Antiqua" w:hAnsi="Book Antiqua" w:cstheme="minorHAnsi"/>
          <w:color w:val="000000" w:themeColor="text1"/>
          <w:sz w:val="24"/>
          <w:szCs w:val="24"/>
        </w:rPr>
        <w:t xml:space="preserve"> report notes while the women were meant to be paid ‘Many did not even know where they were and had little or no money, since very few of the women, according to their testimonies, </w:t>
      </w:r>
      <w:r w:rsidR="00396163">
        <w:rPr>
          <w:rFonts w:ascii="Book Antiqua" w:hAnsi="Book Antiqua" w:cstheme="minorHAnsi"/>
          <w:color w:val="000000" w:themeColor="text1"/>
          <w:sz w:val="24"/>
          <w:szCs w:val="24"/>
        </w:rPr>
        <w:t>never</w:t>
      </w:r>
      <w:r>
        <w:rPr>
          <w:rFonts w:ascii="Book Antiqua" w:hAnsi="Book Antiqua" w:cstheme="minorHAnsi"/>
          <w:color w:val="000000" w:themeColor="text1"/>
          <w:sz w:val="24"/>
          <w:szCs w:val="24"/>
        </w:rPr>
        <w:t xml:space="preserve"> received any of the money they had “</w:t>
      </w:r>
      <w:r w:rsidR="00A1618A">
        <w:rPr>
          <w:rFonts w:ascii="Book Antiqua" w:hAnsi="Book Antiqua" w:cstheme="minorHAnsi"/>
          <w:color w:val="000000" w:themeColor="text1"/>
          <w:sz w:val="24"/>
          <w:szCs w:val="24"/>
        </w:rPr>
        <w:t>earned</w:t>
      </w:r>
      <w:r>
        <w:rPr>
          <w:rFonts w:ascii="Book Antiqua" w:hAnsi="Book Antiqua" w:cstheme="minorHAnsi"/>
          <w:color w:val="000000" w:themeColor="text1"/>
          <w:sz w:val="24"/>
          <w:szCs w:val="24"/>
        </w:rPr>
        <w:t>”’.</w:t>
      </w:r>
      <w:r w:rsidR="006C0DFA">
        <w:rPr>
          <w:rStyle w:val="FootnoteReference"/>
          <w:rFonts w:ascii="Book Antiqua" w:hAnsi="Book Antiqua" w:cstheme="minorHAnsi"/>
          <w:color w:val="000000" w:themeColor="text1"/>
          <w:sz w:val="24"/>
          <w:szCs w:val="24"/>
        </w:rPr>
        <w:footnoteReference w:id="54"/>
      </w:r>
      <w:r>
        <w:rPr>
          <w:rFonts w:ascii="Book Antiqua" w:hAnsi="Book Antiqua" w:cstheme="minorHAnsi"/>
          <w:color w:val="000000" w:themeColor="text1"/>
          <w:sz w:val="24"/>
          <w:szCs w:val="24"/>
        </w:rPr>
        <w:t xml:space="preserve"> </w:t>
      </w:r>
      <w:r w:rsidR="00B0679D">
        <w:rPr>
          <w:rFonts w:ascii="Book Antiqua" w:hAnsi="Book Antiqua" w:cstheme="minorHAnsi"/>
          <w:color w:val="000000" w:themeColor="text1"/>
          <w:sz w:val="24"/>
          <w:szCs w:val="24"/>
        </w:rPr>
        <w:t xml:space="preserve"> </w:t>
      </w:r>
      <w:r w:rsidR="001B5C4C">
        <w:rPr>
          <w:rFonts w:ascii="Book Antiqua" w:hAnsi="Book Antiqua" w:cstheme="minorHAnsi"/>
          <w:color w:val="000000" w:themeColor="text1"/>
          <w:sz w:val="24"/>
          <w:szCs w:val="24"/>
        </w:rPr>
        <w:t xml:space="preserve">The </w:t>
      </w:r>
      <w:proofErr w:type="spellStart"/>
      <w:r w:rsidR="001B5C4C">
        <w:rPr>
          <w:rFonts w:ascii="Book Antiqua" w:hAnsi="Book Antiqua" w:cstheme="minorHAnsi"/>
          <w:color w:val="000000" w:themeColor="text1"/>
          <w:sz w:val="24"/>
          <w:szCs w:val="24"/>
        </w:rPr>
        <w:t>Commaraswamy</w:t>
      </w:r>
      <w:proofErr w:type="spellEnd"/>
      <w:r w:rsidR="001B5C4C">
        <w:rPr>
          <w:rFonts w:ascii="Book Antiqua" w:hAnsi="Book Antiqua" w:cstheme="minorHAnsi"/>
          <w:color w:val="000000" w:themeColor="text1"/>
          <w:sz w:val="24"/>
          <w:szCs w:val="24"/>
        </w:rPr>
        <w:t xml:space="preserve"> report details how from the outset girls were offered well paid jobs, ostensibly as cooks and laundresses for the army, but instead were trafficked into sexual slavery.</w:t>
      </w:r>
      <w:r w:rsidR="006C0DFA">
        <w:rPr>
          <w:rStyle w:val="FootnoteReference"/>
          <w:rFonts w:ascii="Book Antiqua" w:hAnsi="Book Antiqua" w:cstheme="minorHAnsi"/>
          <w:color w:val="000000" w:themeColor="text1"/>
          <w:sz w:val="24"/>
          <w:szCs w:val="24"/>
        </w:rPr>
        <w:footnoteReference w:id="55"/>
      </w:r>
      <w:r w:rsidR="001B5C4C">
        <w:rPr>
          <w:rFonts w:ascii="Book Antiqua" w:hAnsi="Book Antiqua" w:cstheme="minorHAnsi"/>
          <w:color w:val="000000" w:themeColor="text1"/>
          <w:sz w:val="24"/>
          <w:szCs w:val="24"/>
        </w:rPr>
        <w:t xml:space="preserve"> As the report explains: </w:t>
      </w:r>
    </w:p>
    <w:p w14:paraId="754AD8AA" w14:textId="77777777" w:rsidR="001B5C4C" w:rsidRPr="001B5C4C" w:rsidRDefault="001B5C4C" w:rsidP="001B5C4C">
      <w:pPr>
        <w:pStyle w:val="ListParagraph"/>
        <w:rPr>
          <w:rFonts w:ascii="Book Antiqua" w:hAnsi="Book Antiqua" w:cstheme="minorHAnsi"/>
          <w:color w:val="000000" w:themeColor="text1"/>
          <w:sz w:val="24"/>
          <w:szCs w:val="24"/>
        </w:rPr>
      </w:pPr>
    </w:p>
    <w:p w14:paraId="3CCBE632" w14:textId="7C3B3F35" w:rsidR="001B5C4C" w:rsidRDefault="001B5C4C" w:rsidP="001B5C4C">
      <w:pPr>
        <w:pStyle w:val="ListParagraph"/>
        <w:spacing w:line="360" w:lineRule="auto"/>
        <w:ind w:left="1440"/>
        <w:jc w:val="both"/>
        <w:rPr>
          <w:rFonts w:ascii="Book Antiqua" w:hAnsi="Book Antiqua" w:cstheme="minorHAnsi"/>
          <w:color w:val="000000" w:themeColor="text1"/>
          <w:sz w:val="24"/>
          <w:szCs w:val="24"/>
        </w:rPr>
      </w:pPr>
      <w:r>
        <w:rPr>
          <w:rFonts w:ascii="Book Antiqua" w:hAnsi="Book Antiqua" w:cstheme="minorHAnsi"/>
          <w:color w:val="000000" w:themeColor="text1"/>
          <w:sz w:val="24"/>
          <w:szCs w:val="24"/>
        </w:rPr>
        <w:t xml:space="preserve">Later in the war, the military relinquished, for the most part, its involvement in the running and operation of comfort stations to private operators who were </w:t>
      </w:r>
      <w:r w:rsidR="0007042C">
        <w:rPr>
          <w:rFonts w:ascii="Book Antiqua" w:hAnsi="Book Antiqua" w:cstheme="minorHAnsi"/>
          <w:color w:val="000000" w:themeColor="text1"/>
          <w:sz w:val="24"/>
          <w:szCs w:val="24"/>
        </w:rPr>
        <w:t>either approached by army agents or who applied for permits on their own initiative.</w:t>
      </w:r>
      <w:r w:rsidR="006C0DFA">
        <w:rPr>
          <w:rStyle w:val="FootnoteReference"/>
          <w:rFonts w:ascii="Book Antiqua" w:hAnsi="Book Antiqua" w:cstheme="minorHAnsi"/>
          <w:color w:val="000000" w:themeColor="text1"/>
          <w:sz w:val="24"/>
          <w:szCs w:val="24"/>
        </w:rPr>
        <w:footnoteReference w:id="56"/>
      </w:r>
      <w:r w:rsidR="0007042C">
        <w:rPr>
          <w:rFonts w:ascii="Book Antiqua" w:hAnsi="Book Antiqua" w:cstheme="minorHAnsi"/>
          <w:color w:val="000000" w:themeColor="text1"/>
          <w:sz w:val="24"/>
          <w:szCs w:val="24"/>
        </w:rPr>
        <w:t xml:space="preserve"> </w:t>
      </w:r>
    </w:p>
    <w:p w14:paraId="06A6EF23" w14:textId="77777777" w:rsidR="001B5C4C" w:rsidRPr="001B5C4C" w:rsidRDefault="001B5C4C" w:rsidP="001B5C4C">
      <w:pPr>
        <w:pStyle w:val="ListParagraph"/>
        <w:rPr>
          <w:rFonts w:ascii="Book Antiqua" w:hAnsi="Book Antiqua" w:cstheme="minorHAnsi"/>
          <w:color w:val="000000" w:themeColor="text1"/>
          <w:sz w:val="24"/>
          <w:szCs w:val="24"/>
        </w:rPr>
      </w:pPr>
    </w:p>
    <w:p w14:paraId="3D4054EC" w14:textId="7E819312" w:rsidR="0007042C" w:rsidRDefault="0007042C" w:rsidP="00DF7986">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Pr>
          <w:rFonts w:ascii="Book Antiqua" w:hAnsi="Book Antiqua" w:cstheme="minorHAnsi"/>
          <w:color w:val="000000" w:themeColor="text1"/>
          <w:sz w:val="24"/>
          <w:szCs w:val="24"/>
        </w:rPr>
        <w:t xml:space="preserve">Private operators thus worked for the military and deceived girls with the promise of well-paid work or sanctioned by the Japanese authorities, coerced girls with the assistance of the military police and local Korean operators. The Japanese military also resorted to violence, abducting girls and forcibly recruiting Koreans. </w:t>
      </w:r>
    </w:p>
    <w:p w14:paraId="561A667D" w14:textId="77777777" w:rsidR="0007042C" w:rsidRDefault="0007042C" w:rsidP="0007042C">
      <w:pPr>
        <w:pStyle w:val="ListParagraph"/>
        <w:spacing w:line="360" w:lineRule="auto"/>
        <w:ind w:left="714"/>
        <w:jc w:val="both"/>
        <w:rPr>
          <w:rFonts w:ascii="Book Antiqua" w:hAnsi="Book Antiqua" w:cstheme="minorHAnsi"/>
          <w:color w:val="000000" w:themeColor="text1"/>
          <w:sz w:val="24"/>
          <w:szCs w:val="24"/>
        </w:rPr>
      </w:pPr>
    </w:p>
    <w:p w14:paraId="42CFEF82" w14:textId="3DED61C5" w:rsidR="00E209FB" w:rsidRDefault="00B0679D" w:rsidP="00DF7986">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Pr>
          <w:rFonts w:ascii="Book Antiqua" w:hAnsi="Book Antiqua" w:cstheme="minorHAnsi"/>
          <w:color w:val="000000" w:themeColor="text1"/>
          <w:sz w:val="24"/>
          <w:szCs w:val="24"/>
        </w:rPr>
        <w:t xml:space="preserve">The treatment of the comfort women could not objectively relate to the sovereign interests of Japan. Sexual slavery, and prostitution are not functions which relate to the exercise of sovereignty. </w:t>
      </w:r>
      <w:r w:rsidR="0007042C">
        <w:rPr>
          <w:rFonts w:ascii="Book Antiqua" w:hAnsi="Book Antiqua" w:cstheme="minorHAnsi"/>
          <w:color w:val="000000" w:themeColor="text1"/>
          <w:sz w:val="24"/>
          <w:szCs w:val="24"/>
        </w:rPr>
        <w:t xml:space="preserve">This is because </w:t>
      </w:r>
      <w:r w:rsidR="006C0DFA">
        <w:rPr>
          <w:rFonts w:ascii="Book Antiqua" w:hAnsi="Book Antiqua" w:cstheme="minorHAnsi"/>
          <w:color w:val="000000" w:themeColor="text1"/>
          <w:sz w:val="24"/>
          <w:szCs w:val="24"/>
        </w:rPr>
        <w:t>enforced prostitution</w:t>
      </w:r>
      <w:r w:rsidR="0007042C">
        <w:rPr>
          <w:rFonts w:ascii="Book Antiqua" w:hAnsi="Book Antiqua" w:cstheme="minorHAnsi"/>
          <w:color w:val="000000" w:themeColor="text1"/>
          <w:sz w:val="24"/>
          <w:szCs w:val="24"/>
        </w:rPr>
        <w:t xml:space="preserve"> is </w:t>
      </w:r>
      <w:r w:rsidR="006C0DFA">
        <w:rPr>
          <w:rFonts w:ascii="Book Antiqua" w:hAnsi="Book Antiqua" w:cstheme="minorHAnsi"/>
          <w:color w:val="000000" w:themeColor="text1"/>
          <w:sz w:val="24"/>
          <w:szCs w:val="24"/>
        </w:rPr>
        <w:t xml:space="preserve">an </w:t>
      </w:r>
      <w:r w:rsidR="0007042C">
        <w:rPr>
          <w:rFonts w:ascii="Book Antiqua" w:hAnsi="Book Antiqua" w:cstheme="minorHAnsi"/>
          <w:color w:val="000000" w:themeColor="text1"/>
          <w:sz w:val="24"/>
          <w:szCs w:val="24"/>
        </w:rPr>
        <w:t xml:space="preserve">inherently commercial activity (and crime) in which </w:t>
      </w:r>
      <w:r w:rsidR="00A63775">
        <w:rPr>
          <w:rFonts w:ascii="Book Antiqua" w:hAnsi="Book Antiqua" w:cstheme="minorHAnsi"/>
          <w:color w:val="000000" w:themeColor="text1"/>
          <w:sz w:val="24"/>
          <w:szCs w:val="24"/>
        </w:rPr>
        <w:t xml:space="preserve">there is a financial benefit from paying less or nothing at all. With respect to this argument the Supreme Court in the UK held in </w:t>
      </w:r>
      <w:r w:rsidR="00A63775" w:rsidRPr="00A63775">
        <w:rPr>
          <w:rFonts w:ascii="Book Antiqua" w:hAnsi="Book Antiqua" w:cstheme="minorHAnsi"/>
          <w:i/>
          <w:iCs/>
          <w:color w:val="000000" w:themeColor="text1"/>
          <w:sz w:val="24"/>
          <w:szCs w:val="24"/>
        </w:rPr>
        <w:t>Reyes v Al Malki</w:t>
      </w:r>
      <w:r w:rsidR="00A63775">
        <w:rPr>
          <w:rFonts w:ascii="Book Antiqua" w:hAnsi="Book Antiqua" w:cstheme="minorHAnsi"/>
          <w:color w:val="000000" w:themeColor="text1"/>
          <w:sz w:val="24"/>
          <w:szCs w:val="24"/>
        </w:rPr>
        <w:t xml:space="preserve">: </w:t>
      </w:r>
    </w:p>
    <w:p w14:paraId="4E574E3E" w14:textId="77777777" w:rsidR="00A63775" w:rsidRPr="00A63775" w:rsidRDefault="00A63775" w:rsidP="00A63775">
      <w:pPr>
        <w:pStyle w:val="ListParagraph"/>
        <w:rPr>
          <w:rFonts w:ascii="Book Antiqua" w:hAnsi="Book Antiqua" w:cstheme="minorHAnsi"/>
          <w:color w:val="000000" w:themeColor="text1"/>
          <w:sz w:val="24"/>
          <w:szCs w:val="24"/>
        </w:rPr>
      </w:pPr>
    </w:p>
    <w:p w14:paraId="3E75F57B" w14:textId="798F5CD6" w:rsidR="00A63775" w:rsidRDefault="00A63775" w:rsidP="00A63775">
      <w:pPr>
        <w:pStyle w:val="ListParagraph"/>
        <w:spacing w:line="360" w:lineRule="auto"/>
        <w:ind w:left="1440"/>
        <w:jc w:val="both"/>
        <w:rPr>
          <w:rFonts w:ascii="Book Antiqua" w:hAnsi="Book Antiqua" w:cstheme="minorHAnsi"/>
          <w:color w:val="000000" w:themeColor="text1"/>
          <w:sz w:val="24"/>
          <w:szCs w:val="24"/>
        </w:rPr>
      </w:pPr>
      <w:r>
        <w:rPr>
          <w:rFonts w:ascii="Book Antiqua" w:hAnsi="Book Antiqua" w:cstheme="minorHAnsi"/>
          <w:color w:val="000000" w:themeColor="text1"/>
          <w:sz w:val="24"/>
          <w:szCs w:val="24"/>
        </w:rPr>
        <w:t>[</w:t>
      </w:r>
      <w:proofErr w:type="gramStart"/>
      <w:r>
        <w:rPr>
          <w:rFonts w:ascii="Book Antiqua" w:hAnsi="Book Antiqua" w:cstheme="minorHAnsi"/>
          <w:color w:val="000000" w:themeColor="text1"/>
          <w:sz w:val="24"/>
          <w:szCs w:val="24"/>
        </w:rPr>
        <w:t>45]…</w:t>
      </w:r>
      <w:proofErr w:type="gramEnd"/>
      <w:r>
        <w:rPr>
          <w:rFonts w:ascii="Book Antiqua" w:hAnsi="Book Antiqua" w:cstheme="minorHAnsi"/>
          <w:color w:val="000000" w:themeColor="text1"/>
          <w:sz w:val="24"/>
          <w:szCs w:val="24"/>
        </w:rPr>
        <w:t xml:space="preserve">nothing in the Palermo Protocol requires that human trafficking must be classified as a “commercial activity” when it would not otherwise be, whether for the purpose of diplomatic immunity or for any other purpose. The commerciality or otherwise of the activities defined as trafficking are irrelevant to the definition. As defined in </w:t>
      </w:r>
      <w:r w:rsidRPr="00BB021C">
        <w:rPr>
          <w:rFonts w:ascii="Book Antiqua" w:hAnsi="Book Antiqua" w:cstheme="minorHAnsi"/>
          <w:color w:val="000000" w:themeColor="text1"/>
          <w:sz w:val="24"/>
          <w:szCs w:val="24"/>
        </w:rPr>
        <w:t>article 3 of the Protocol, trafficking may consist in a number of different operations, including the recruitment, transportation, transfer</w:t>
      </w:r>
      <w:r w:rsidR="00BB021C">
        <w:rPr>
          <w:rFonts w:ascii="Book Antiqua" w:hAnsi="Book Antiqua" w:cstheme="minorHAnsi"/>
          <w:color w:val="000000" w:themeColor="text1"/>
          <w:sz w:val="24"/>
          <w:szCs w:val="24"/>
        </w:rPr>
        <w:t xml:space="preserve">, harbouring and receipt of persons. It may also consist in fraud, deception or the abuse of power or vulnerability. Commonly, a chain of intermediaries will be involved, each participant doing some of these things but not necessarily all of them. It is not inherent in any of these acts that they will necessarily be done in the exercise of a commercial activity. That will depend on the precise circumstances. In particular, it will depend on the nature of each participant’s involvement. </w:t>
      </w:r>
      <w:proofErr w:type="gramStart"/>
      <w:r w:rsidR="00BB021C">
        <w:rPr>
          <w:rFonts w:ascii="Book Antiqua" w:hAnsi="Book Antiqua" w:cstheme="minorHAnsi"/>
          <w:color w:val="000000" w:themeColor="text1"/>
          <w:sz w:val="24"/>
          <w:szCs w:val="24"/>
        </w:rPr>
        <w:t>Thus</w:t>
      </w:r>
      <w:proofErr w:type="gramEnd"/>
      <w:r w:rsidR="00BB021C">
        <w:rPr>
          <w:rFonts w:ascii="Book Antiqua" w:hAnsi="Book Antiqua" w:cstheme="minorHAnsi"/>
          <w:color w:val="000000" w:themeColor="text1"/>
          <w:sz w:val="24"/>
          <w:szCs w:val="24"/>
        </w:rPr>
        <w:t xml:space="preserve"> one would expect that an intermediary who recruits or transports a trafficked person for money to be exercising a commercial activity.</w:t>
      </w:r>
      <w:r w:rsidR="00BB021C" w:rsidRPr="006C0DFA">
        <w:rPr>
          <w:rFonts w:ascii="Book Antiqua" w:hAnsi="Book Antiqua" w:cstheme="minorHAnsi"/>
          <w:b/>
          <w:bCs/>
          <w:color w:val="000000" w:themeColor="text1"/>
          <w:sz w:val="24"/>
          <w:szCs w:val="24"/>
        </w:rPr>
        <w:t xml:space="preserve"> The same is likely to be true of someone who received a trafficked person for, say, prostitution. These are business </w:t>
      </w:r>
      <w:r w:rsidR="00F873BC" w:rsidRPr="006C0DFA">
        <w:rPr>
          <w:rFonts w:ascii="Book Antiqua" w:hAnsi="Book Antiqua" w:cstheme="minorHAnsi"/>
          <w:b/>
          <w:bCs/>
          <w:color w:val="000000" w:themeColor="text1"/>
          <w:sz w:val="24"/>
          <w:szCs w:val="24"/>
        </w:rPr>
        <w:t>operations</w:t>
      </w:r>
      <w:r w:rsidR="006C0DFA">
        <w:rPr>
          <w:rFonts w:ascii="Book Antiqua" w:hAnsi="Book Antiqua" w:cstheme="minorHAnsi"/>
          <w:b/>
          <w:bCs/>
          <w:color w:val="000000" w:themeColor="text1"/>
          <w:sz w:val="24"/>
          <w:szCs w:val="24"/>
        </w:rPr>
        <w:t xml:space="preserve"> </w:t>
      </w:r>
      <w:r w:rsidR="006C0DFA" w:rsidRPr="006C0DFA">
        <w:rPr>
          <w:rFonts w:ascii="Book Antiqua" w:hAnsi="Book Antiqua" w:cstheme="minorHAnsi"/>
          <w:color w:val="000000" w:themeColor="text1"/>
          <w:sz w:val="24"/>
          <w:szCs w:val="24"/>
        </w:rPr>
        <w:t>(emphasis added).</w:t>
      </w:r>
    </w:p>
    <w:p w14:paraId="558AE124" w14:textId="77777777" w:rsidR="00DA131B" w:rsidRPr="00DA131B" w:rsidRDefault="00DA131B" w:rsidP="00DA131B">
      <w:pPr>
        <w:pStyle w:val="ListParagraph"/>
        <w:rPr>
          <w:rFonts w:ascii="Book Antiqua" w:hAnsi="Book Antiqua" w:cstheme="minorHAnsi"/>
          <w:color w:val="000000" w:themeColor="text1"/>
          <w:sz w:val="24"/>
          <w:szCs w:val="24"/>
        </w:rPr>
      </w:pPr>
    </w:p>
    <w:p w14:paraId="16856C86" w14:textId="45603871" w:rsidR="006A53A9" w:rsidRDefault="006A53A9" w:rsidP="00A91558">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sidRPr="00920279">
        <w:rPr>
          <w:rFonts w:ascii="Book Antiqua" w:hAnsi="Book Antiqua" w:cstheme="minorHAnsi"/>
          <w:color w:val="000000" w:themeColor="text1"/>
          <w:sz w:val="24"/>
          <w:szCs w:val="24"/>
        </w:rPr>
        <w:t xml:space="preserve">The court </w:t>
      </w:r>
      <w:r w:rsidR="00920279" w:rsidRPr="00920279">
        <w:rPr>
          <w:rFonts w:ascii="Book Antiqua" w:hAnsi="Book Antiqua" w:cstheme="minorHAnsi"/>
          <w:color w:val="000000" w:themeColor="text1"/>
          <w:sz w:val="24"/>
          <w:szCs w:val="24"/>
        </w:rPr>
        <w:t>therefore</w:t>
      </w:r>
      <w:r w:rsidRPr="00920279">
        <w:rPr>
          <w:rFonts w:ascii="Book Antiqua" w:hAnsi="Book Antiqua" w:cstheme="minorHAnsi"/>
          <w:color w:val="000000" w:themeColor="text1"/>
          <w:sz w:val="24"/>
          <w:szCs w:val="24"/>
        </w:rPr>
        <w:t xml:space="preserve"> needs to satisfy itself that the comfort women system did not amount to ‘commercial activity’. That is because a state loses immunity when it undertakes a business</w:t>
      </w:r>
      <w:r w:rsidR="00920279" w:rsidRPr="00920279">
        <w:rPr>
          <w:rFonts w:ascii="Book Antiqua" w:hAnsi="Book Antiqua" w:cstheme="minorHAnsi"/>
          <w:color w:val="000000" w:themeColor="text1"/>
          <w:sz w:val="24"/>
          <w:szCs w:val="24"/>
        </w:rPr>
        <w:t xml:space="preserve"> or transaction</w:t>
      </w:r>
      <w:r w:rsidRPr="00920279">
        <w:rPr>
          <w:rFonts w:ascii="Book Antiqua" w:hAnsi="Book Antiqua" w:cstheme="minorHAnsi"/>
          <w:color w:val="000000" w:themeColor="text1"/>
          <w:sz w:val="24"/>
          <w:szCs w:val="24"/>
        </w:rPr>
        <w:t xml:space="preserve"> of the same kind as carried out by a private person. In the instant case, Japan engaged with private actors for the purposes of enforced prostitution. This was not a sovereign act and it is hard to see how Japan can assert its immunity with respect to these acts. </w:t>
      </w:r>
    </w:p>
    <w:p w14:paraId="17622863" w14:textId="77777777" w:rsidR="00920279" w:rsidRPr="00920279" w:rsidRDefault="00920279" w:rsidP="00920279">
      <w:pPr>
        <w:pStyle w:val="ListParagraph"/>
        <w:spacing w:line="360" w:lineRule="auto"/>
        <w:ind w:left="714"/>
        <w:jc w:val="both"/>
        <w:rPr>
          <w:rFonts w:ascii="Book Antiqua" w:hAnsi="Book Antiqua" w:cstheme="minorHAnsi"/>
          <w:color w:val="000000" w:themeColor="text1"/>
          <w:sz w:val="24"/>
          <w:szCs w:val="24"/>
        </w:rPr>
      </w:pPr>
    </w:p>
    <w:p w14:paraId="510A6BFF" w14:textId="7325ABA9" w:rsidR="008732B7" w:rsidRDefault="006A53A9" w:rsidP="006A53A9">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proofErr w:type="gramStart"/>
      <w:r>
        <w:rPr>
          <w:rFonts w:ascii="Book Antiqua" w:hAnsi="Book Antiqua" w:cstheme="minorHAnsi"/>
          <w:color w:val="000000" w:themeColor="text1"/>
          <w:sz w:val="24"/>
          <w:szCs w:val="24"/>
        </w:rPr>
        <w:t>Additionally</w:t>
      </w:r>
      <w:proofErr w:type="gramEnd"/>
      <w:r>
        <w:rPr>
          <w:rFonts w:ascii="Book Antiqua" w:hAnsi="Book Antiqua" w:cstheme="minorHAnsi"/>
          <w:color w:val="000000" w:themeColor="text1"/>
          <w:sz w:val="24"/>
          <w:szCs w:val="24"/>
        </w:rPr>
        <w:t xml:space="preserve"> or in the alternative, this</w:t>
      </w:r>
      <w:r w:rsidR="008732B7">
        <w:rPr>
          <w:rFonts w:ascii="Book Antiqua" w:hAnsi="Book Antiqua" w:cstheme="minorHAnsi"/>
          <w:color w:val="000000" w:themeColor="text1"/>
          <w:sz w:val="24"/>
          <w:szCs w:val="24"/>
        </w:rPr>
        <w:t xml:space="preserve"> </w:t>
      </w:r>
      <w:r>
        <w:rPr>
          <w:rFonts w:ascii="Book Antiqua" w:hAnsi="Book Antiqua" w:cstheme="minorHAnsi"/>
          <w:color w:val="000000" w:themeColor="text1"/>
          <w:sz w:val="24"/>
          <w:szCs w:val="24"/>
        </w:rPr>
        <w:t>C</w:t>
      </w:r>
      <w:r w:rsidR="008732B7">
        <w:rPr>
          <w:rFonts w:ascii="Book Antiqua" w:hAnsi="Book Antiqua" w:cstheme="minorHAnsi"/>
          <w:color w:val="000000" w:themeColor="text1"/>
          <w:sz w:val="24"/>
          <w:szCs w:val="24"/>
        </w:rPr>
        <w:t xml:space="preserve">ourt </w:t>
      </w:r>
      <w:r>
        <w:rPr>
          <w:rFonts w:ascii="Book Antiqua" w:hAnsi="Book Antiqua" w:cstheme="minorHAnsi"/>
          <w:color w:val="000000" w:themeColor="text1"/>
          <w:sz w:val="24"/>
          <w:szCs w:val="24"/>
        </w:rPr>
        <w:t>must</w:t>
      </w:r>
      <w:r w:rsidR="008732B7">
        <w:rPr>
          <w:rFonts w:ascii="Book Antiqua" w:hAnsi="Book Antiqua" w:cstheme="minorHAnsi"/>
          <w:color w:val="000000" w:themeColor="text1"/>
          <w:sz w:val="24"/>
          <w:szCs w:val="24"/>
        </w:rPr>
        <w:t xml:space="preserve"> satisfy itself that there was no employment relationship between Japan and the comfort women and that the acts giving rise to the complaint were exercises of sovereign authority. </w:t>
      </w:r>
      <w:proofErr w:type="gramStart"/>
      <w:r w:rsidR="008732B7">
        <w:rPr>
          <w:rFonts w:ascii="Book Antiqua" w:hAnsi="Book Antiqua" w:cstheme="minorHAnsi"/>
          <w:color w:val="000000" w:themeColor="text1"/>
          <w:sz w:val="24"/>
          <w:szCs w:val="24"/>
        </w:rPr>
        <w:t>Otherwise</w:t>
      </w:r>
      <w:proofErr w:type="gramEnd"/>
      <w:r w:rsidR="008732B7">
        <w:rPr>
          <w:rFonts w:ascii="Book Antiqua" w:hAnsi="Book Antiqua" w:cstheme="minorHAnsi"/>
          <w:color w:val="000000" w:themeColor="text1"/>
          <w:sz w:val="24"/>
          <w:szCs w:val="24"/>
        </w:rPr>
        <w:t xml:space="preserve"> the employment exception will apply</w:t>
      </w:r>
      <w:r w:rsidR="00BB021C">
        <w:rPr>
          <w:rFonts w:ascii="Book Antiqua" w:hAnsi="Book Antiqua" w:cstheme="minorHAnsi"/>
          <w:color w:val="000000" w:themeColor="text1"/>
          <w:sz w:val="24"/>
          <w:szCs w:val="24"/>
        </w:rPr>
        <w:t xml:space="preserve"> and Japan will not be entitled to state immunity</w:t>
      </w:r>
      <w:r>
        <w:rPr>
          <w:rFonts w:ascii="Book Antiqua" w:hAnsi="Book Antiqua" w:cstheme="minorHAnsi"/>
          <w:color w:val="000000" w:themeColor="text1"/>
          <w:sz w:val="24"/>
          <w:szCs w:val="24"/>
        </w:rPr>
        <w:t xml:space="preserve"> on this basis. Thus</w:t>
      </w:r>
      <w:r w:rsidR="008A3F4B">
        <w:rPr>
          <w:rFonts w:ascii="Book Antiqua" w:hAnsi="Book Antiqua" w:cstheme="minorHAnsi"/>
          <w:color w:val="000000" w:themeColor="text1"/>
          <w:sz w:val="24"/>
          <w:szCs w:val="24"/>
        </w:rPr>
        <w:t>,</w:t>
      </w:r>
      <w:r>
        <w:rPr>
          <w:rFonts w:ascii="Book Antiqua" w:hAnsi="Book Antiqua" w:cstheme="minorHAnsi"/>
          <w:color w:val="000000" w:themeColor="text1"/>
          <w:sz w:val="24"/>
          <w:szCs w:val="24"/>
        </w:rPr>
        <w:t xml:space="preserve"> for the women who had contracts/relationships of employment and were deceived into sexual slavery, state immunity is unlikely to apply since the acts of enforced prostitution, trafficking and sexual slavery are not functions of the state. </w:t>
      </w:r>
    </w:p>
    <w:p w14:paraId="7539E911" w14:textId="77777777" w:rsidR="008A3F4B" w:rsidRPr="008A3F4B" w:rsidRDefault="008A3F4B" w:rsidP="008A3F4B">
      <w:pPr>
        <w:pStyle w:val="ListParagraph"/>
        <w:rPr>
          <w:rFonts w:ascii="Book Antiqua" w:hAnsi="Book Antiqua" w:cstheme="minorHAnsi"/>
          <w:color w:val="000000" w:themeColor="text1"/>
          <w:sz w:val="24"/>
          <w:szCs w:val="24"/>
        </w:rPr>
      </w:pPr>
    </w:p>
    <w:p w14:paraId="073772C0" w14:textId="4DFA5532" w:rsidR="008A3F4B" w:rsidRDefault="008A3F4B" w:rsidP="006A53A9">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Pr>
          <w:rFonts w:ascii="Book Antiqua" w:hAnsi="Book Antiqua" w:cstheme="minorHAnsi"/>
          <w:color w:val="000000" w:themeColor="text1"/>
          <w:sz w:val="24"/>
          <w:szCs w:val="24"/>
        </w:rPr>
        <w:t xml:space="preserve">In our opinion, Japan cannot avail of state immunity due to the exceptions in customary international law which are well established and which Japan itself has recognised through ratification of the UN Convention. </w:t>
      </w:r>
    </w:p>
    <w:p w14:paraId="6A6A3D12" w14:textId="77777777" w:rsidR="00857A1F" w:rsidRPr="00857A1F" w:rsidRDefault="00857A1F" w:rsidP="00857A1F">
      <w:pPr>
        <w:pStyle w:val="ListParagraph"/>
        <w:rPr>
          <w:rFonts w:ascii="Book Antiqua" w:hAnsi="Book Antiqua" w:cstheme="minorHAnsi"/>
          <w:color w:val="000000" w:themeColor="text1"/>
          <w:sz w:val="24"/>
          <w:szCs w:val="24"/>
        </w:rPr>
      </w:pPr>
    </w:p>
    <w:p w14:paraId="17A32FB7" w14:textId="77777777" w:rsidR="00857A1F" w:rsidRPr="00857A1F" w:rsidRDefault="00857A1F" w:rsidP="00857A1F">
      <w:pPr>
        <w:spacing w:line="360" w:lineRule="auto"/>
        <w:jc w:val="both"/>
        <w:rPr>
          <w:rFonts w:ascii="Book Antiqua" w:hAnsi="Book Antiqua" w:cstheme="minorHAnsi"/>
          <w:color w:val="000000" w:themeColor="text1"/>
          <w:sz w:val="24"/>
          <w:szCs w:val="24"/>
        </w:rPr>
      </w:pPr>
    </w:p>
    <w:p w14:paraId="1821DBFE" w14:textId="77777777" w:rsidR="00E209FB" w:rsidRPr="00E209FB" w:rsidRDefault="00E209FB" w:rsidP="00E209FB">
      <w:pPr>
        <w:pStyle w:val="ListParagraph"/>
        <w:rPr>
          <w:rFonts w:ascii="Book Antiqua" w:hAnsi="Book Antiqua" w:cstheme="minorHAnsi"/>
          <w:color w:val="000000" w:themeColor="text1"/>
          <w:sz w:val="24"/>
          <w:szCs w:val="24"/>
        </w:rPr>
      </w:pPr>
    </w:p>
    <w:p w14:paraId="3C6D88F1" w14:textId="77777777" w:rsidR="00C27F5E" w:rsidRPr="00C27F5E" w:rsidRDefault="00C27F5E" w:rsidP="00C27F5E">
      <w:pPr>
        <w:spacing w:line="360" w:lineRule="auto"/>
        <w:jc w:val="both"/>
        <w:rPr>
          <w:rFonts w:ascii="Book Antiqua" w:hAnsi="Book Antiqua" w:cstheme="minorHAnsi"/>
          <w:i/>
          <w:iCs/>
          <w:color w:val="000000" w:themeColor="text1"/>
          <w:sz w:val="24"/>
          <w:szCs w:val="24"/>
        </w:rPr>
      </w:pPr>
      <w:r w:rsidRPr="00C27F5E">
        <w:rPr>
          <w:rFonts w:ascii="Book Antiqua" w:hAnsi="Book Antiqua" w:cstheme="minorHAnsi"/>
          <w:i/>
          <w:iCs/>
          <w:color w:val="000000" w:themeColor="text1"/>
          <w:sz w:val="24"/>
          <w:szCs w:val="24"/>
        </w:rPr>
        <w:t>State immunity, human rights and gender crimes</w:t>
      </w:r>
    </w:p>
    <w:p w14:paraId="183090E2" w14:textId="77777777" w:rsidR="00E209FB" w:rsidRPr="00E209FB" w:rsidRDefault="00E209FB" w:rsidP="00E209FB">
      <w:pPr>
        <w:pStyle w:val="ListParagraph"/>
        <w:rPr>
          <w:rFonts w:ascii="Book Antiqua" w:hAnsi="Book Antiqua" w:cstheme="minorHAnsi"/>
          <w:color w:val="000000" w:themeColor="text1"/>
          <w:sz w:val="24"/>
          <w:szCs w:val="24"/>
        </w:rPr>
      </w:pPr>
    </w:p>
    <w:p w14:paraId="71222222" w14:textId="5E55CBAB" w:rsidR="00825B7C" w:rsidRDefault="00F277F5" w:rsidP="00891539">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Pr>
          <w:rFonts w:ascii="Book Antiqua" w:hAnsi="Book Antiqua" w:cstheme="minorHAnsi"/>
          <w:color w:val="000000" w:themeColor="text1"/>
          <w:sz w:val="24"/>
          <w:szCs w:val="24"/>
        </w:rPr>
        <w:t>Japan is likely to seek to assert its immunity on the basis of the jurisprudence of the International Court of Justice</w:t>
      </w:r>
      <w:r w:rsidR="00135B6E">
        <w:rPr>
          <w:rFonts w:ascii="Book Antiqua" w:hAnsi="Book Antiqua" w:cstheme="minorHAnsi"/>
          <w:color w:val="000000" w:themeColor="text1"/>
          <w:sz w:val="24"/>
          <w:szCs w:val="24"/>
        </w:rPr>
        <w:t xml:space="preserve"> (ICJ) (we have not seen the Japanese submissions or documents which relate to this case)</w:t>
      </w:r>
      <w:r>
        <w:rPr>
          <w:rFonts w:ascii="Book Antiqua" w:hAnsi="Book Antiqua" w:cstheme="minorHAnsi"/>
          <w:color w:val="000000" w:themeColor="text1"/>
          <w:sz w:val="24"/>
          <w:szCs w:val="24"/>
        </w:rPr>
        <w:t xml:space="preserve">. </w:t>
      </w:r>
      <w:r w:rsidR="00AC2A43" w:rsidRPr="00E209FB">
        <w:rPr>
          <w:rFonts w:ascii="Book Antiqua" w:hAnsi="Book Antiqua" w:cstheme="minorHAnsi"/>
          <w:color w:val="000000" w:themeColor="text1"/>
          <w:sz w:val="24"/>
          <w:szCs w:val="24"/>
        </w:rPr>
        <w:t xml:space="preserve">In </w:t>
      </w:r>
      <w:r w:rsidR="00AC2A43" w:rsidRPr="00E209FB">
        <w:rPr>
          <w:rFonts w:ascii="Book Antiqua" w:hAnsi="Book Antiqua" w:cstheme="minorHAnsi"/>
          <w:i/>
          <w:iCs/>
          <w:color w:val="000000" w:themeColor="text1"/>
          <w:sz w:val="24"/>
          <w:szCs w:val="24"/>
        </w:rPr>
        <w:t xml:space="preserve">Jurisdictional Immunities of the State </w:t>
      </w:r>
      <w:r w:rsidR="00AC2A43" w:rsidRPr="00135B6E">
        <w:rPr>
          <w:rFonts w:ascii="Book Antiqua" w:hAnsi="Book Antiqua" w:cstheme="minorHAnsi"/>
          <w:i/>
          <w:iCs/>
          <w:color w:val="000000" w:themeColor="text1"/>
          <w:sz w:val="24"/>
          <w:szCs w:val="24"/>
        </w:rPr>
        <w:t>(Germany v Italy)</w:t>
      </w:r>
      <w:r w:rsidR="00AC2A43" w:rsidRPr="00E209FB">
        <w:rPr>
          <w:rFonts w:ascii="Book Antiqua" w:hAnsi="Book Antiqua" w:cstheme="minorHAnsi"/>
          <w:color w:val="000000" w:themeColor="text1"/>
          <w:sz w:val="24"/>
          <w:szCs w:val="24"/>
        </w:rPr>
        <w:t xml:space="preserve"> the majority of the</w:t>
      </w:r>
      <w:r w:rsidR="00113D3C" w:rsidRPr="00E209FB">
        <w:rPr>
          <w:rFonts w:ascii="Book Antiqua" w:hAnsi="Book Antiqua" w:cstheme="minorHAnsi"/>
          <w:color w:val="000000" w:themeColor="text1"/>
          <w:sz w:val="24"/>
          <w:szCs w:val="24"/>
        </w:rPr>
        <w:t xml:space="preserve"> International Court of Justice</w:t>
      </w:r>
      <w:r w:rsidR="00135B6E">
        <w:rPr>
          <w:rFonts w:ascii="Book Antiqua" w:hAnsi="Book Antiqua" w:cstheme="minorHAnsi"/>
          <w:color w:val="000000" w:themeColor="text1"/>
          <w:sz w:val="24"/>
          <w:szCs w:val="24"/>
        </w:rPr>
        <w:t xml:space="preserve"> </w:t>
      </w:r>
      <w:r w:rsidR="00AC2A43" w:rsidRPr="00E209FB">
        <w:rPr>
          <w:rFonts w:ascii="Book Antiqua" w:hAnsi="Book Antiqua" w:cstheme="minorHAnsi"/>
          <w:color w:val="000000" w:themeColor="text1"/>
          <w:sz w:val="24"/>
          <w:szCs w:val="24"/>
        </w:rPr>
        <w:t>held that Italy was in violation of international law through denying immunity to Germany in Italian courts for claims relating to wartime atrocities committed by Germany.</w:t>
      </w:r>
      <w:r w:rsidR="00E209FB">
        <w:rPr>
          <w:rStyle w:val="FootnoteReference"/>
          <w:rFonts w:ascii="Book Antiqua" w:hAnsi="Book Antiqua" w:cstheme="minorHAnsi"/>
          <w:color w:val="000000" w:themeColor="text1"/>
          <w:sz w:val="24"/>
          <w:szCs w:val="24"/>
        </w:rPr>
        <w:footnoteReference w:id="57"/>
      </w:r>
      <w:r w:rsidR="00AC2A43" w:rsidRPr="00E209FB">
        <w:rPr>
          <w:rFonts w:ascii="Book Antiqua" w:hAnsi="Book Antiqua" w:cstheme="minorHAnsi"/>
          <w:color w:val="000000" w:themeColor="text1"/>
          <w:sz w:val="24"/>
          <w:szCs w:val="24"/>
        </w:rPr>
        <w:t xml:space="preserve"> </w:t>
      </w:r>
      <w:r w:rsidR="00135B6E">
        <w:rPr>
          <w:rFonts w:ascii="Book Antiqua" w:hAnsi="Book Antiqua" w:cstheme="minorHAnsi"/>
          <w:color w:val="000000" w:themeColor="text1"/>
          <w:sz w:val="24"/>
          <w:szCs w:val="24"/>
        </w:rPr>
        <w:t xml:space="preserve">The </w:t>
      </w:r>
      <w:r w:rsidR="00AC2A43" w:rsidRPr="00E209FB">
        <w:rPr>
          <w:rFonts w:ascii="Book Antiqua" w:hAnsi="Book Antiqua" w:cstheme="minorHAnsi"/>
          <w:color w:val="000000" w:themeColor="text1"/>
          <w:sz w:val="24"/>
          <w:szCs w:val="24"/>
        </w:rPr>
        <w:t xml:space="preserve">ICJ denied any exceptions based on the gravity of the offences, </w:t>
      </w:r>
      <w:r w:rsidR="00AC2A43" w:rsidRPr="00E209FB">
        <w:rPr>
          <w:rFonts w:ascii="Book Antiqua" w:hAnsi="Book Antiqua" w:cstheme="minorHAnsi"/>
          <w:i/>
          <w:iCs/>
          <w:color w:val="000000" w:themeColor="text1"/>
          <w:sz w:val="24"/>
          <w:szCs w:val="24"/>
        </w:rPr>
        <w:t>jus cogens</w:t>
      </w:r>
      <w:r w:rsidR="00AC2A43" w:rsidRPr="00E209FB">
        <w:rPr>
          <w:rFonts w:ascii="Book Antiqua" w:hAnsi="Book Antiqua" w:cstheme="minorHAnsi"/>
          <w:color w:val="000000" w:themeColor="text1"/>
          <w:sz w:val="24"/>
          <w:szCs w:val="24"/>
        </w:rPr>
        <w:t xml:space="preserve"> </w:t>
      </w:r>
      <w:r w:rsidR="009A2E32" w:rsidRPr="00E209FB">
        <w:rPr>
          <w:rFonts w:ascii="Book Antiqua" w:hAnsi="Book Antiqua" w:cstheme="minorHAnsi"/>
          <w:color w:val="000000" w:themeColor="text1"/>
          <w:sz w:val="24"/>
          <w:szCs w:val="24"/>
        </w:rPr>
        <w:t>(p</w:t>
      </w:r>
      <w:r w:rsidR="00AC2A43" w:rsidRPr="00E209FB">
        <w:rPr>
          <w:rFonts w:ascii="Book Antiqua" w:hAnsi="Book Antiqua" w:cstheme="minorHAnsi"/>
          <w:color w:val="000000" w:themeColor="text1"/>
          <w:sz w:val="24"/>
          <w:szCs w:val="24"/>
        </w:rPr>
        <w:t xml:space="preserve">eremptory norms) or lack of any alternative forum where the claims could be brought. </w:t>
      </w:r>
      <w:r w:rsidR="001B4D94" w:rsidRPr="00E209FB">
        <w:rPr>
          <w:rFonts w:ascii="Book Antiqua" w:hAnsi="Book Antiqua" w:cstheme="minorHAnsi"/>
          <w:color w:val="000000" w:themeColor="text1"/>
          <w:sz w:val="24"/>
          <w:szCs w:val="24"/>
        </w:rPr>
        <w:t>The d</w:t>
      </w:r>
      <w:r w:rsidR="00DE7EEC" w:rsidRPr="00E209FB">
        <w:rPr>
          <w:rFonts w:ascii="Book Antiqua" w:hAnsi="Book Antiqua" w:cstheme="minorHAnsi"/>
          <w:color w:val="000000" w:themeColor="text1"/>
          <w:sz w:val="24"/>
          <w:szCs w:val="24"/>
        </w:rPr>
        <w:t xml:space="preserve">ecision </w:t>
      </w:r>
      <w:r w:rsidR="001B4D94" w:rsidRPr="00E209FB">
        <w:rPr>
          <w:rFonts w:ascii="Book Antiqua" w:hAnsi="Book Antiqua" w:cstheme="minorHAnsi"/>
          <w:color w:val="000000" w:themeColor="text1"/>
          <w:sz w:val="24"/>
          <w:szCs w:val="24"/>
        </w:rPr>
        <w:t xml:space="preserve">was </w:t>
      </w:r>
      <w:r w:rsidR="00DE7EEC" w:rsidRPr="00E209FB">
        <w:rPr>
          <w:rFonts w:ascii="Book Antiqua" w:hAnsi="Book Antiqua" w:cstheme="minorHAnsi"/>
          <w:color w:val="000000" w:themeColor="text1"/>
          <w:sz w:val="24"/>
          <w:szCs w:val="24"/>
        </w:rPr>
        <w:t xml:space="preserve">based on customary international law as shown by decisions of many national courts and assumed </w:t>
      </w:r>
      <w:proofErr w:type="spellStart"/>
      <w:r w:rsidR="00DE7EEC" w:rsidRPr="00E209FB">
        <w:rPr>
          <w:rFonts w:ascii="Book Antiqua" w:hAnsi="Book Antiqua" w:cstheme="minorHAnsi"/>
          <w:i/>
          <w:iCs/>
          <w:color w:val="000000" w:themeColor="text1"/>
          <w:sz w:val="24"/>
          <w:szCs w:val="24"/>
        </w:rPr>
        <w:t>opinio</w:t>
      </w:r>
      <w:proofErr w:type="spellEnd"/>
      <w:r w:rsidR="00DE7EEC" w:rsidRPr="00E209FB">
        <w:rPr>
          <w:rFonts w:ascii="Book Antiqua" w:hAnsi="Book Antiqua" w:cstheme="minorHAnsi"/>
          <w:i/>
          <w:iCs/>
          <w:color w:val="000000" w:themeColor="text1"/>
          <w:sz w:val="24"/>
          <w:szCs w:val="24"/>
        </w:rPr>
        <w:t xml:space="preserve"> juris</w:t>
      </w:r>
      <w:r w:rsidR="003D4808" w:rsidRPr="00E209FB">
        <w:rPr>
          <w:rFonts w:ascii="Book Antiqua" w:hAnsi="Book Antiqua" w:cstheme="minorHAnsi"/>
          <w:color w:val="000000" w:themeColor="text1"/>
          <w:sz w:val="24"/>
          <w:szCs w:val="24"/>
        </w:rPr>
        <w:t>.</w:t>
      </w:r>
      <w:r w:rsidR="00E209FB">
        <w:rPr>
          <w:rStyle w:val="FootnoteReference"/>
          <w:rFonts w:ascii="Book Antiqua" w:hAnsi="Book Antiqua" w:cstheme="minorHAnsi"/>
          <w:color w:val="000000" w:themeColor="text1"/>
          <w:sz w:val="24"/>
          <w:szCs w:val="24"/>
        </w:rPr>
        <w:footnoteReference w:id="58"/>
      </w:r>
    </w:p>
    <w:p w14:paraId="7122E136" w14:textId="77777777" w:rsidR="00891539" w:rsidRPr="00891539" w:rsidRDefault="00891539" w:rsidP="00891539">
      <w:pPr>
        <w:pStyle w:val="ListParagraph"/>
        <w:spacing w:line="360" w:lineRule="auto"/>
        <w:ind w:left="714"/>
        <w:jc w:val="both"/>
        <w:rPr>
          <w:rFonts w:ascii="Book Antiqua" w:hAnsi="Book Antiqua" w:cstheme="minorHAnsi"/>
          <w:color w:val="000000" w:themeColor="text1"/>
          <w:sz w:val="24"/>
          <w:szCs w:val="24"/>
        </w:rPr>
      </w:pPr>
    </w:p>
    <w:p w14:paraId="080E9C4E" w14:textId="33CDBE12" w:rsidR="00855D4E" w:rsidRDefault="00825B7C" w:rsidP="00855D4E">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Pr>
          <w:rFonts w:ascii="Book Antiqua" w:hAnsi="Book Antiqua" w:cstheme="minorHAnsi"/>
          <w:color w:val="000000" w:themeColor="text1"/>
          <w:sz w:val="24"/>
          <w:szCs w:val="24"/>
        </w:rPr>
        <w:t>It has been noted that the ICJ provided little reasoning for its decision and that the Court ‘mainly carried out a numerical weighing of the number of national decisions in which immunity was upheld and denied in order to reach its conclusion’.</w:t>
      </w:r>
      <w:r>
        <w:rPr>
          <w:rStyle w:val="FootnoteReference"/>
          <w:rFonts w:ascii="Book Antiqua" w:hAnsi="Book Antiqua" w:cstheme="minorHAnsi"/>
          <w:color w:val="000000" w:themeColor="text1"/>
          <w:sz w:val="24"/>
          <w:szCs w:val="24"/>
        </w:rPr>
        <w:footnoteReference w:id="59"/>
      </w:r>
      <w:r>
        <w:rPr>
          <w:rFonts w:ascii="Book Antiqua" w:hAnsi="Book Antiqua" w:cstheme="minorHAnsi"/>
          <w:color w:val="000000" w:themeColor="text1"/>
          <w:sz w:val="24"/>
          <w:szCs w:val="24"/>
        </w:rPr>
        <w:t xml:space="preserve"> The judgment therefore reflected state practice </w:t>
      </w:r>
      <w:r w:rsidRPr="00135B6E">
        <w:rPr>
          <w:rFonts w:ascii="Book Antiqua" w:hAnsi="Book Antiqua" w:cstheme="minorHAnsi"/>
          <w:i/>
          <w:iCs/>
          <w:color w:val="000000" w:themeColor="text1"/>
          <w:sz w:val="24"/>
          <w:szCs w:val="24"/>
        </w:rPr>
        <w:t>at the time</w:t>
      </w:r>
      <w:r>
        <w:rPr>
          <w:rFonts w:ascii="Book Antiqua" w:hAnsi="Book Antiqua" w:cstheme="minorHAnsi"/>
          <w:color w:val="000000" w:themeColor="text1"/>
          <w:sz w:val="24"/>
          <w:szCs w:val="24"/>
        </w:rPr>
        <w:t xml:space="preserve"> of the judgment in 2012. National courts, as they have done so in Greece and Italy, have expanded the restrictive doctrine</w:t>
      </w:r>
      <w:r w:rsidR="00DC1DA9">
        <w:rPr>
          <w:rFonts w:ascii="Book Antiqua" w:hAnsi="Book Antiqua" w:cstheme="minorHAnsi"/>
          <w:color w:val="000000" w:themeColor="text1"/>
          <w:sz w:val="24"/>
          <w:szCs w:val="24"/>
        </w:rPr>
        <w:t xml:space="preserve"> in some cases</w:t>
      </w:r>
      <w:r>
        <w:rPr>
          <w:rFonts w:ascii="Book Antiqua" w:hAnsi="Book Antiqua" w:cstheme="minorHAnsi"/>
          <w:color w:val="000000" w:themeColor="text1"/>
          <w:sz w:val="24"/>
          <w:szCs w:val="24"/>
        </w:rPr>
        <w:t xml:space="preserve"> to embrace a human rights exception. </w:t>
      </w:r>
      <w:r w:rsidR="00216496">
        <w:rPr>
          <w:rFonts w:ascii="Book Antiqua" w:hAnsi="Book Antiqua" w:cstheme="minorHAnsi"/>
          <w:color w:val="000000" w:themeColor="text1"/>
          <w:sz w:val="24"/>
          <w:szCs w:val="24"/>
        </w:rPr>
        <w:t>This human rights exception is one which qualifies state immunity where there is an absolute denial of justice or reparations</w:t>
      </w:r>
      <w:r w:rsidR="002C24B3">
        <w:rPr>
          <w:rFonts w:ascii="Book Antiqua" w:hAnsi="Book Antiqua" w:cstheme="minorHAnsi"/>
          <w:color w:val="000000" w:themeColor="text1"/>
          <w:sz w:val="24"/>
          <w:szCs w:val="24"/>
        </w:rPr>
        <w:t xml:space="preserve"> (forum of last resort)</w:t>
      </w:r>
      <w:r w:rsidR="00216496">
        <w:rPr>
          <w:rFonts w:ascii="Book Antiqua" w:hAnsi="Book Antiqua" w:cstheme="minorHAnsi"/>
          <w:color w:val="000000" w:themeColor="text1"/>
          <w:sz w:val="24"/>
          <w:szCs w:val="24"/>
        </w:rPr>
        <w:t xml:space="preserve">, and/or where there has been a violations of </w:t>
      </w:r>
      <w:r w:rsidR="00216496" w:rsidRPr="00233729">
        <w:rPr>
          <w:rFonts w:ascii="Book Antiqua" w:hAnsi="Book Antiqua" w:cstheme="minorHAnsi"/>
          <w:i/>
          <w:iCs/>
          <w:color w:val="000000" w:themeColor="text1"/>
          <w:sz w:val="24"/>
          <w:szCs w:val="24"/>
        </w:rPr>
        <w:t>jus cogens</w:t>
      </w:r>
      <w:r w:rsidR="00216496">
        <w:rPr>
          <w:rFonts w:ascii="Book Antiqua" w:hAnsi="Book Antiqua" w:cstheme="minorHAnsi"/>
          <w:color w:val="000000" w:themeColor="text1"/>
          <w:sz w:val="24"/>
          <w:szCs w:val="24"/>
        </w:rPr>
        <w:t xml:space="preserve"> norms. </w:t>
      </w:r>
    </w:p>
    <w:p w14:paraId="338F046C" w14:textId="77777777" w:rsidR="00855D4E" w:rsidRPr="00855D4E" w:rsidRDefault="00855D4E" w:rsidP="00855D4E">
      <w:pPr>
        <w:pStyle w:val="ListParagraph"/>
        <w:rPr>
          <w:rFonts w:ascii="Book Antiqua" w:hAnsi="Book Antiqua" w:cstheme="minorHAnsi"/>
          <w:color w:val="000000" w:themeColor="text1"/>
          <w:sz w:val="24"/>
          <w:szCs w:val="24"/>
        </w:rPr>
      </w:pPr>
    </w:p>
    <w:p w14:paraId="05922F36" w14:textId="6095A849" w:rsidR="003D4808" w:rsidRPr="00855D4E" w:rsidRDefault="00113D3C" w:rsidP="00855D4E">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sidRPr="00855D4E">
        <w:rPr>
          <w:rFonts w:ascii="Book Antiqua" w:hAnsi="Book Antiqua" w:cstheme="minorHAnsi"/>
          <w:color w:val="000000" w:themeColor="text1"/>
          <w:sz w:val="24"/>
          <w:szCs w:val="24"/>
        </w:rPr>
        <w:t xml:space="preserve">The present case involves gender-based crimes and sexual violence against women and girls. The </w:t>
      </w:r>
      <w:r w:rsidR="003D4808" w:rsidRPr="00855D4E">
        <w:rPr>
          <w:rFonts w:ascii="Book Antiqua" w:hAnsi="Book Antiqua" w:cstheme="minorHAnsi"/>
          <w:i/>
          <w:iCs/>
          <w:color w:val="000000" w:themeColor="text1"/>
          <w:sz w:val="24"/>
          <w:szCs w:val="24"/>
        </w:rPr>
        <w:t xml:space="preserve">Jurisdictional Immunities </w:t>
      </w:r>
      <w:r w:rsidR="003D4808" w:rsidRPr="00855D4E">
        <w:rPr>
          <w:rFonts w:ascii="Book Antiqua" w:hAnsi="Book Antiqua" w:cstheme="minorHAnsi"/>
          <w:color w:val="000000" w:themeColor="text1"/>
          <w:sz w:val="24"/>
          <w:szCs w:val="24"/>
        </w:rPr>
        <w:t xml:space="preserve">case did not involve crimes of sexual violence and sexual slavery and no issues relating to gender or gender-based and sexual violence were raised by the </w:t>
      </w:r>
      <w:r w:rsidRPr="00855D4E">
        <w:rPr>
          <w:rFonts w:ascii="Book Antiqua" w:hAnsi="Book Antiqua" w:cstheme="minorHAnsi"/>
          <w:color w:val="000000" w:themeColor="text1"/>
          <w:sz w:val="24"/>
          <w:szCs w:val="24"/>
        </w:rPr>
        <w:t>ICJ</w:t>
      </w:r>
      <w:r w:rsidR="003D4808" w:rsidRPr="00855D4E">
        <w:rPr>
          <w:rFonts w:ascii="Book Antiqua" w:hAnsi="Book Antiqua" w:cstheme="minorHAnsi"/>
          <w:color w:val="000000" w:themeColor="text1"/>
          <w:sz w:val="24"/>
          <w:szCs w:val="24"/>
        </w:rPr>
        <w:t>. Since that case failed</w:t>
      </w:r>
      <w:r w:rsidR="009A2E32" w:rsidRPr="00855D4E">
        <w:rPr>
          <w:rFonts w:ascii="Book Antiqua" w:hAnsi="Book Antiqua" w:cstheme="minorHAnsi"/>
          <w:color w:val="000000" w:themeColor="text1"/>
          <w:sz w:val="24"/>
          <w:szCs w:val="24"/>
        </w:rPr>
        <w:t xml:space="preserve"> to take gender into account in any</w:t>
      </w:r>
      <w:r w:rsidR="003D4808" w:rsidRPr="00855D4E">
        <w:rPr>
          <w:rFonts w:ascii="Book Antiqua" w:hAnsi="Book Antiqua" w:cstheme="minorHAnsi"/>
          <w:color w:val="000000" w:themeColor="text1"/>
          <w:sz w:val="24"/>
          <w:szCs w:val="24"/>
        </w:rPr>
        <w:t xml:space="preserve"> way it</w:t>
      </w:r>
      <w:r w:rsidR="00DC1DA9">
        <w:rPr>
          <w:rFonts w:ascii="Book Antiqua" w:hAnsi="Book Antiqua" w:cstheme="minorHAnsi"/>
          <w:color w:val="000000" w:themeColor="text1"/>
          <w:sz w:val="24"/>
          <w:szCs w:val="24"/>
        </w:rPr>
        <w:t xml:space="preserve"> arguably</w:t>
      </w:r>
      <w:r w:rsidR="003D4808" w:rsidRPr="00855D4E">
        <w:rPr>
          <w:rFonts w:ascii="Book Antiqua" w:hAnsi="Book Antiqua" w:cstheme="minorHAnsi"/>
          <w:color w:val="000000" w:themeColor="text1"/>
          <w:sz w:val="24"/>
          <w:szCs w:val="24"/>
        </w:rPr>
        <w:t xml:space="preserve"> has no bearing on the case before this court where </w:t>
      </w:r>
      <w:r w:rsidR="00497710" w:rsidRPr="00855D4E">
        <w:rPr>
          <w:rFonts w:ascii="Book Antiqua" w:hAnsi="Book Antiqua" w:cstheme="minorHAnsi"/>
          <w:color w:val="000000" w:themeColor="text1"/>
          <w:sz w:val="24"/>
          <w:szCs w:val="24"/>
        </w:rPr>
        <w:t>the commission of</w:t>
      </w:r>
      <w:r w:rsidR="003B2A70" w:rsidRPr="00855D4E">
        <w:rPr>
          <w:rFonts w:ascii="Book Antiqua" w:hAnsi="Book Antiqua" w:cstheme="minorHAnsi"/>
          <w:color w:val="000000" w:themeColor="text1"/>
          <w:sz w:val="24"/>
          <w:szCs w:val="24"/>
        </w:rPr>
        <w:t xml:space="preserve"> </w:t>
      </w:r>
      <w:r w:rsidR="00497710" w:rsidRPr="00855D4E">
        <w:rPr>
          <w:rFonts w:ascii="Book Antiqua" w:hAnsi="Book Antiqua" w:cstheme="minorHAnsi"/>
          <w:color w:val="000000" w:themeColor="text1"/>
          <w:sz w:val="24"/>
          <w:szCs w:val="24"/>
        </w:rPr>
        <w:t xml:space="preserve">crimes of </w:t>
      </w:r>
      <w:r w:rsidR="003D4808" w:rsidRPr="00855D4E">
        <w:rPr>
          <w:rFonts w:ascii="Book Antiqua" w:hAnsi="Book Antiqua" w:cstheme="minorHAnsi"/>
          <w:color w:val="000000" w:themeColor="text1"/>
          <w:sz w:val="24"/>
          <w:szCs w:val="24"/>
        </w:rPr>
        <w:t>gender</w:t>
      </w:r>
      <w:r w:rsidR="00497710" w:rsidRPr="00855D4E">
        <w:rPr>
          <w:rFonts w:ascii="Book Antiqua" w:hAnsi="Book Antiqua" w:cstheme="minorHAnsi"/>
          <w:color w:val="000000" w:themeColor="text1"/>
          <w:sz w:val="24"/>
          <w:szCs w:val="24"/>
        </w:rPr>
        <w:t xml:space="preserve">-based and sexual violence </w:t>
      </w:r>
      <w:r w:rsidR="003B2A70" w:rsidRPr="00855D4E">
        <w:rPr>
          <w:rFonts w:ascii="Book Antiqua" w:hAnsi="Book Antiqua" w:cstheme="minorHAnsi"/>
          <w:color w:val="000000" w:themeColor="text1"/>
          <w:sz w:val="24"/>
          <w:szCs w:val="24"/>
        </w:rPr>
        <w:t>is</w:t>
      </w:r>
      <w:r w:rsidR="00497710" w:rsidRPr="00855D4E">
        <w:rPr>
          <w:rFonts w:ascii="Book Antiqua" w:hAnsi="Book Antiqua" w:cstheme="minorHAnsi"/>
          <w:color w:val="000000" w:themeColor="text1"/>
          <w:sz w:val="24"/>
          <w:szCs w:val="24"/>
        </w:rPr>
        <w:t xml:space="preserve"> </w:t>
      </w:r>
      <w:r w:rsidR="003D4808" w:rsidRPr="00855D4E">
        <w:rPr>
          <w:rFonts w:ascii="Book Antiqua" w:hAnsi="Book Antiqua" w:cstheme="minorHAnsi"/>
          <w:color w:val="000000" w:themeColor="text1"/>
          <w:sz w:val="24"/>
          <w:szCs w:val="24"/>
        </w:rPr>
        <w:t xml:space="preserve">central. </w:t>
      </w:r>
      <w:r w:rsidR="003B2A70" w:rsidRPr="00855D4E">
        <w:rPr>
          <w:rFonts w:ascii="Book Antiqua" w:hAnsi="Book Antiqua" w:cstheme="minorHAnsi"/>
          <w:color w:val="000000" w:themeColor="text1"/>
          <w:sz w:val="24"/>
          <w:szCs w:val="24"/>
        </w:rPr>
        <w:t>We submit that the law relating to state immunity must be reassessed through a gender lens</w:t>
      </w:r>
      <w:r w:rsidR="00DC1DA9">
        <w:rPr>
          <w:rFonts w:ascii="Book Antiqua" w:hAnsi="Book Antiqua" w:cstheme="minorHAnsi"/>
          <w:color w:val="000000" w:themeColor="text1"/>
          <w:sz w:val="24"/>
          <w:szCs w:val="24"/>
        </w:rPr>
        <w:t>;</w:t>
      </w:r>
      <w:r w:rsidR="003B2A70" w:rsidRPr="00855D4E">
        <w:rPr>
          <w:rFonts w:ascii="Book Antiqua" w:hAnsi="Book Antiqua" w:cstheme="minorHAnsi"/>
          <w:color w:val="000000" w:themeColor="text1"/>
          <w:sz w:val="24"/>
          <w:szCs w:val="24"/>
        </w:rPr>
        <w:t xml:space="preserve"> that is taking into account the evolution of gender equality and gender crimes in international law in the same way as it has been reassessed to take account of contemporary commercial practices</w:t>
      </w:r>
      <w:r w:rsidR="00EE3A9C" w:rsidRPr="00855D4E">
        <w:rPr>
          <w:rFonts w:ascii="Book Antiqua" w:hAnsi="Book Antiqua" w:cstheme="minorHAnsi"/>
          <w:color w:val="000000" w:themeColor="text1"/>
          <w:sz w:val="24"/>
          <w:szCs w:val="24"/>
        </w:rPr>
        <w:t xml:space="preserve">. </w:t>
      </w:r>
    </w:p>
    <w:p w14:paraId="7EF23595" w14:textId="77777777" w:rsidR="00855D4E" w:rsidRDefault="00855D4E" w:rsidP="00855D4E">
      <w:pPr>
        <w:pStyle w:val="ListParagraph"/>
        <w:rPr>
          <w:rFonts w:ascii="Book Antiqua" w:hAnsi="Book Antiqua" w:cstheme="minorHAnsi"/>
          <w:color w:val="000000" w:themeColor="text1"/>
          <w:sz w:val="24"/>
          <w:szCs w:val="24"/>
        </w:rPr>
      </w:pPr>
    </w:p>
    <w:p w14:paraId="547790D2" w14:textId="172FA408" w:rsidR="00891539" w:rsidRDefault="00855D4E" w:rsidP="00891539">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Pr>
          <w:rFonts w:ascii="Book Antiqua" w:hAnsi="Book Antiqua" w:cstheme="minorHAnsi"/>
          <w:color w:val="000000" w:themeColor="text1"/>
          <w:sz w:val="24"/>
          <w:szCs w:val="24"/>
        </w:rPr>
        <w:t>This is particularly so given</w:t>
      </w:r>
      <w:r w:rsidR="00C9341B">
        <w:rPr>
          <w:rFonts w:ascii="Book Antiqua" w:hAnsi="Book Antiqua" w:cstheme="minorHAnsi"/>
          <w:color w:val="000000" w:themeColor="text1"/>
          <w:sz w:val="24"/>
          <w:szCs w:val="24"/>
        </w:rPr>
        <w:t xml:space="preserve"> the evolution of international law on gender crimes set out further above. </w:t>
      </w:r>
      <w:r w:rsidR="00C27F5E">
        <w:rPr>
          <w:rFonts w:ascii="Book Antiqua" w:hAnsi="Book Antiqua" w:cstheme="minorHAnsi"/>
          <w:color w:val="000000" w:themeColor="text1"/>
          <w:sz w:val="24"/>
          <w:szCs w:val="24"/>
        </w:rPr>
        <w:t>The obligation on states to end impunity for gender crimes is relevant to how state immunity is interpreted and applied, in light of Article 31(2) and (3)(a)(b) of the Vienna Convention on the Law of Treaties, which envisages that a treaty may in appropriate cases be interpreted in light of a linked treaty, whether made at the same time or subsequently. Article 31(3)(c) of the Vienna Convention on the Law of Treaties, requires account to be taken of “any relevant rules of international law applicable in the relations between the parties”. In other words, treaties and international instruments on women’s human rights, gender equality, trafficking and accountability for international crimes are subsequent developments and circumstances which should be taken into account when interpreting other norms of international law. In this case,</w:t>
      </w:r>
      <w:r w:rsidR="00E21896">
        <w:rPr>
          <w:rFonts w:ascii="Book Antiqua" w:hAnsi="Book Antiqua" w:cstheme="minorHAnsi"/>
          <w:color w:val="000000" w:themeColor="text1"/>
          <w:sz w:val="24"/>
          <w:szCs w:val="24"/>
        </w:rPr>
        <w:t xml:space="preserve"> since state immunity is an evolving concept of</w:t>
      </w:r>
      <w:r w:rsidR="00C27F5E">
        <w:rPr>
          <w:rFonts w:ascii="Book Antiqua" w:hAnsi="Book Antiqua" w:cstheme="minorHAnsi"/>
          <w:color w:val="000000" w:themeColor="text1"/>
          <w:sz w:val="24"/>
          <w:szCs w:val="24"/>
        </w:rPr>
        <w:t xml:space="preserve"> customary international law</w:t>
      </w:r>
      <w:r w:rsidR="00E21896">
        <w:rPr>
          <w:rFonts w:ascii="Book Antiqua" w:hAnsi="Book Antiqua" w:cstheme="minorHAnsi"/>
          <w:color w:val="000000" w:themeColor="text1"/>
          <w:sz w:val="24"/>
          <w:szCs w:val="24"/>
        </w:rPr>
        <w:t xml:space="preserve">, these treaties and international legal developments should be taken into account when interpreting whether a state is entitled to assert immunity from jurisdiction. </w:t>
      </w:r>
    </w:p>
    <w:p w14:paraId="146DEA56" w14:textId="77777777" w:rsidR="00891539" w:rsidRDefault="00891539" w:rsidP="00891539">
      <w:pPr>
        <w:pStyle w:val="ListParagraph"/>
        <w:spacing w:line="360" w:lineRule="auto"/>
        <w:ind w:left="714"/>
        <w:jc w:val="both"/>
        <w:rPr>
          <w:rFonts w:ascii="Book Antiqua" w:hAnsi="Book Antiqua" w:cstheme="minorHAnsi"/>
          <w:color w:val="000000" w:themeColor="text1"/>
          <w:sz w:val="24"/>
          <w:szCs w:val="24"/>
        </w:rPr>
      </w:pPr>
    </w:p>
    <w:p w14:paraId="5F292E70" w14:textId="6731C4D3" w:rsidR="00891539" w:rsidRPr="00D06B1C" w:rsidRDefault="00891539" w:rsidP="00D06B1C">
      <w:pPr>
        <w:pStyle w:val="ListParagraph"/>
        <w:numPr>
          <w:ilvl w:val="0"/>
          <w:numId w:val="1"/>
        </w:numPr>
        <w:spacing w:line="360" w:lineRule="auto"/>
        <w:ind w:left="714" w:hanging="357"/>
        <w:jc w:val="both"/>
        <w:rPr>
          <w:rFonts w:ascii="Book Antiqua" w:hAnsi="Book Antiqua" w:cstheme="minorHAnsi"/>
          <w:color w:val="000000" w:themeColor="text1"/>
          <w:sz w:val="24"/>
          <w:szCs w:val="24"/>
        </w:rPr>
      </w:pPr>
      <w:r w:rsidRPr="00891539">
        <w:rPr>
          <w:rFonts w:ascii="Book Antiqua" w:hAnsi="Book Antiqua" w:cstheme="minorHAnsi"/>
          <w:color w:val="000000" w:themeColor="text1"/>
          <w:sz w:val="24"/>
          <w:szCs w:val="24"/>
        </w:rPr>
        <w:t xml:space="preserve">Further, the </w:t>
      </w:r>
      <w:r w:rsidRPr="00891539">
        <w:rPr>
          <w:rFonts w:ascii="Book Antiqua" w:hAnsi="Book Antiqua" w:cstheme="minorHAnsi"/>
          <w:i/>
          <w:iCs/>
          <w:color w:val="000000" w:themeColor="text1"/>
          <w:sz w:val="24"/>
          <w:szCs w:val="24"/>
        </w:rPr>
        <w:t xml:space="preserve">Jurisdictional Immunities </w:t>
      </w:r>
      <w:r w:rsidRPr="00891539">
        <w:rPr>
          <w:rFonts w:ascii="Book Antiqua" w:hAnsi="Book Antiqua" w:cstheme="minorHAnsi"/>
          <w:color w:val="000000" w:themeColor="text1"/>
          <w:sz w:val="24"/>
          <w:szCs w:val="24"/>
        </w:rPr>
        <w:t>case can be distinguished on the basis that in that case the ICJ held that there was a potential alternative forum for justice in the form of negotiations between the states. In the instant case, this</w:t>
      </w:r>
      <w:r>
        <w:rPr>
          <w:rFonts w:ascii="Book Antiqua" w:hAnsi="Book Antiqua" w:cstheme="minorHAnsi"/>
          <w:color w:val="000000" w:themeColor="text1"/>
          <w:sz w:val="24"/>
          <w:szCs w:val="24"/>
        </w:rPr>
        <w:t xml:space="preserve"> court</w:t>
      </w:r>
      <w:r w:rsidRPr="00891539">
        <w:rPr>
          <w:rFonts w:ascii="Book Antiqua" w:hAnsi="Book Antiqua" w:cstheme="minorHAnsi"/>
          <w:color w:val="000000" w:themeColor="text1"/>
          <w:sz w:val="24"/>
          <w:szCs w:val="24"/>
        </w:rPr>
        <w:t xml:space="preserve"> is the ‘last resort’. </w:t>
      </w:r>
      <w:r w:rsidR="00291967">
        <w:rPr>
          <w:rFonts w:ascii="Book Antiqua" w:hAnsi="Book Antiqua" w:cstheme="minorHAnsi"/>
          <w:color w:val="000000" w:themeColor="text1"/>
          <w:sz w:val="24"/>
          <w:szCs w:val="24"/>
        </w:rPr>
        <w:t xml:space="preserve">The ICJ’s suggestions that there could be negotiations between the countries to provide access to justice clearly is not possible in this case. </w:t>
      </w:r>
      <w:r w:rsidRPr="00891539">
        <w:rPr>
          <w:rFonts w:ascii="Book Antiqua" w:hAnsi="Book Antiqua" w:cstheme="minorHAnsi"/>
          <w:color w:val="000000" w:themeColor="text1"/>
          <w:sz w:val="24"/>
          <w:szCs w:val="24"/>
        </w:rPr>
        <w:t xml:space="preserve"> </w:t>
      </w:r>
      <w:r w:rsidR="00584BE2">
        <w:rPr>
          <w:rFonts w:ascii="Book Antiqua" w:hAnsi="Book Antiqua" w:cstheme="minorHAnsi"/>
          <w:color w:val="000000" w:themeColor="text1"/>
          <w:sz w:val="24"/>
          <w:szCs w:val="24"/>
        </w:rPr>
        <w:t xml:space="preserve">Further when considering this </w:t>
      </w:r>
      <w:proofErr w:type="gramStart"/>
      <w:r w:rsidR="00584BE2">
        <w:rPr>
          <w:rFonts w:ascii="Book Antiqua" w:hAnsi="Book Antiqua" w:cstheme="minorHAnsi"/>
          <w:color w:val="000000" w:themeColor="text1"/>
          <w:sz w:val="24"/>
          <w:szCs w:val="24"/>
        </w:rPr>
        <w:t>argument</w:t>
      </w:r>
      <w:proofErr w:type="gramEnd"/>
      <w:r w:rsidR="00584BE2">
        <w:rPr>
          <w:rFonts w:ascii="Book Antiqua" w:hAnsi="Book Antiqua" w:cstheme="minorHAnsi"/>
          <w:color w:val="000000" w:themeColor="text1"/>
          <w:sz w:val="24"/>
          <w:szCs w:val="24"/>
        </w:rPr>
        <w:t xml:space="preserve"> it is significant that</w:t>
      </w:r>
      <w:r w:rsidR="00584BE2" w:rsidRPr="00891539">
        <w:rPr>
          <w:rFonts w:ascii="Book Antiqua" w:hAnsi="Book Antiqua" w:cstheme="minorHAnsi"/>
          <w:color w:val="000000" w:themeColor="text1"/>
          <w:sz w:val="24"/>
          <w:szCs w:val="24"/>
        </w:rPr>
        <w:t xml:space="preserve"> </w:t>
      </w:r>
      <w:r w:rsidR="00584BE2">
        <w:rPr>
          <w:rFonts w:ascii="Book Antiqua" w:hAnsi="Book Antiqua" w:cstheme="minorHAnsi"/>
          <w:color w:val="000000" w:themeColor="text1"/>
          <w:sz w:val="24"/>
          <w:szCs w:val="24"/>
        </w:rPr>
        <w:t>w</w:t>
      </w:r>
      <w:r w:rsidR="00584BE2" w:rsidRPr="00891539">
        <w:rPr>
          <w:rFonts w:ascii="Book Antiqua" w:hAnsi="Book Antiqua" w:cstheme="minorHAnsi"/>
          <w:color w:val="000000" w:themeColor="text1"/>
          <w:sz w:val="24"/>
          <w:szCs w:val="24"/>
        </w:rPr>
        <w:t>omen face additional obstacles and hurdles in accessing justice.</w:t>
      </w:r>
      <w:r w:rsidR="00584BE2">
        <w:rPr>
          <w:rStyle w:val="FootnoteReference"/>
          <w:rFonts w:ascii="Book Antiqua" w:hAnsi="Book Antiqua" w:cstheme="minorHAnsi"/>
          <w:color w:val="000000" w:themeColor="text1"/>
          <w:sz w:val="24"/>
          <w:szCs w:val="24"/>
        </w:rPr>
        <w:footnoteReference w:id="60"/>
      </w:r>
    </w:p>
    <w:p w14:paraId="5664BF7D" w14:textId="77777777" w:rsidR="00C9341B" w:rsidRPr="00C9341B" w:rsidRDefault="00C9341B" w:rsidP="00C9341B">
      <w:pPr>
        <w:pStyle w:val="ListParagraph"/>
        <w:jc w:val="both"/>
        <w:rPr>
          <w:rFonts w:ascii="Book Antiqua" w:hAnsi="Book Antiqua" w:cstheme="minorHAnsi"/>
          <w:color w:val="000000" w:themeColor="text1"/>
          <w:sz w:val="24"/>
          <w:szCs w:val="24"/>
        </w:rPr>
      </w:pPr>
    </w:p>
    <w:p w14:paraId="14E83A8E" w14:textId="23166937" w:rsidR="00043273" w:rsidRPr="00584BE2" w:rsidRDefault="004E5E05" w:rsidP="00CE3C01">
      <w:pPr>
        <w:pStyle w:val="ListParagraph"/>
        <w:numPr>
          <w:ilvl w:val="0"/>
          <w:numId w:val="1"/>
        </w:numPr>
        <w:spacing w:line="360" w:lineRule="auto"/>
        <w:jc w:val="both"/>
        <w:rPr>
          <w:rFonts w:ascii="Book Antiqua" w:hAnsi="Book Antiqua" w:cstheme="minorHAnsi"/>
          <w:b/>
          <w:bCs/>
          <w:color w:val="000000" w:themeColor="text1"/>
          <w:sz w:val="24"/>
          <w:szCs w:val="24"/>
          <w:shd w:val="clear" w:color="auto" w:fill="FFFFFF"/>
        </w:rPr>
      </w:pPr>
      <w:r w:rsidRPr="003922C5">
        <w:rPr>
          <w:rFonts w:ascii="Book Antiqua" w:hAnsi="Book Antiqua" w:cstheme="minorHAnsi"/>
          <w:color w:val="000000" w:themeColor="text1"/>
          <w:sz w:val="24"/>
          <w:szCs w:val="24"/>
        </w:rPr>
        <w:t xml:space="preserve">The comfort women carried out domestic tasks as well as being subjected to rape, sexual violence and sexual slavery. </w:t>
      </w:r>
      <w:r w:rsidR="002725B7" w:rsidRPr="003922C5">
        <w:rPr>
          <w:rFonts w:ascii="Book Antiqua" w:hAnsi="Book Antiqua" w:cstheme="minorHAnsi"/>
          <w:color w:val="000000" w:themeColor="text1"/>
          <w:sz w:val="24"/>
          <w:szCs w:val="24"/>
        </w:rPr>
        <w:t xml:space="preserve">They </w:t>
      </w:r>
      <w:r w:rsidRPr="003922C5">
        <w:rPr>
          <w:rFonts w:ascii="Book Antiqua" w:hAnsi="Book Antiqua" w:cstheme="minorHAnsi"/>
          <w:color w:val="000000" w:themeColor="text1"/>
          <w:sz w:val="24"/>
          <w:szCs w:val="24"/>
        </w:rPr>
        <w:t xml:space="preserve">were subjected to these harms “because they were women” but </w:t>
      </w:r>
      <w:r w:rsidR="002725B7" w:rsidRPr="003922C5">
        <w:rPr>
          <w:rFonts w:ascii="Book Antiqua" w:hAnsi="Book Antiqua" w:cstheme="minorHAnsi"/>
          <w:color w:val="000000" w:themeColor="text1"/>
          <w:sz w:val="24"/>
          <w:szCs w:val="24"/>
        </w:rPr>
        <w:t>did not have the benefit of any protection under employment law</w:t>
      </w:r>
      <w:r w:rsidR="00855D4E">
        <w:rPr>
          <w:rFonts w:ascii="Book Antiqua" w:hAnsi="Book Antiqua" w:cstheme="minorHAnsi"/>
          <w:color w:val="000000" w:themeColor="text1"/>
          <w:sz w:val="24"/>
          <w:szCs w:val="24"/>
        </w:rPr>
        <w:t>. If this court holds that</w:t>
      </w:r>
      <w:r w:rsidR="002725B7" w:rsidRPr="003922C5">
        <w:rPr>
          <w:rFonts w:ascii="Book Antiqua" w:hAnsi="Book Antiqua" w:cstheme="minorHAnsi"/>
          <w:color w:val="000000" w:themeColor="text1"/>
          <w:sz w:val="24"/>
          <w:szCs w:val="24"/>
        </w:rPr>
        <w:t xml:space="preserve"> they now </w:t>
      </w:r>
      <w:r w:rsidR="00855D4E">
        <w:rPr>
          <w:rFonts w:ascii="Book Antiqua" w:hAnsi="Book Antiqua" w:cstheme="minorHAnsi"/>
          <w:color w:val="000000" w:themeColor="text1"/>
          <w:sz w:val="24"/>
          <w:szCs w:val="24"/>
        </w:rPr>
        <w:t>un</w:t>
      </w:r>
      <w:r w:rsidR="002725B7" w:rsidRPr="003922C5">
        <w:rPr>
          <w:rFonts w:ascii="Book Antiqua" w:hAnsi="Book Antiqua" w:cstheme="minorHAnsi"/>
          <w:color w:val="000000" w:themeColor="text1"/>
          <w:sz w:val="24"/>
          <w:szCs w:val="24"/>
        </w:rPr>
        <w:t xml:space="preserve">able the claim an exemption from immunity on </w:t>
      </w:r>
      <w:r w:rsidR="00855D4E">
        <w:rPr>
          <w:rFonts w:ascii="Book Antiqua" w:hAnsi="Book Antiqua" w:cstheme="minorHAnsi"/>
          <w:color w:val="000000" w:themeColor="text1"/>
          <w:sz w:val="24"/>
          <w:szCs w:val="24"/>
        </w:rPr>
        <w:t>a restrictive basis, is it</w:t>
      </w:r>
      <w:r w:rsidRPr="003922C5">
        <w:rPr>
          <w:rFonts w:ascii="Book Antiqua" w:hAnsi="Book Antiqua" w:cstheme="minorHAnsi"/>
          <w:color w:val="000000" w:themeColor="text1"/>
          <w:sz w:val="24"/>
          <w:szCs w:val="24"/>
        </w:rPr>
        <w:t xml:space="preserve"> unacceptable that they should be in a worse legal position because they had been “</w:t>
      </w:r>
      <w:r w:rsidR="00C70320" w:rsidRPr="003922C5">
        <w:rPr>
          <w:rFonts w:ascii="Book Antiqua" w:hAnsi="Book Antiqua" w:cstheme="minorHAnsi"/>
          <w:color w:val="000000" w:themeColor="text1"/>
          <w:sz w:val="24"/>
          <w:szCs w:val="24"/>
        </w:rPr>
        <w:t>recruited</w:t>
      </w:r>
      <w:r w:rsidRPr="003922C5">
        <w:rPr>
          <w:rFonts w:ascii="Book Antiqua" w:hAnsi="Book Antiqua" w:cstheme="minorHAnsi"/>
          <w:color w:val="000000" w:themeColor="text1"/>
          <w:sz w:val="24"/>
          <w:szCs w:val="24"/>
        </w:rPr>
        <w:t>”</w:t>
      </w:r>
      <w:r w:rsidR="00C70320" w:rsidRPr="003922C5">
        <w:rPr>
          <w:rFonts w:ascii="Book Antiqua" w:hAnsi="Book Antiqua" w:cstheme="minorHAnsi"/>
          <w:color w:val="000000" w:themeColor="text1"/>
          <w:sz w:val="24"/>
          <w:szCs w:val="24"/>
        </w:rPr>
        <w:t xml:space="preserve"> through force and the threat of force, abduction and deception; were </w:t>
      </w:r>
      <w:r w:rsidRPr="003922C5">
        <w:rPr>
          <w:rFonts w:ascii="Book Antiqua" w:hAnsi="Book Antiqua" w:cstheme="minorHAnsi"/>
          <w:color w:val="000000" w:themeColor="text1"/>
          <w:sz w:val="24"/>
          <w:szCs w:val="24"/>
        </w:rPr>
        <w:t xml:space="preserve">forcibly </w:t>
      </w:r>
      <w:r w:rsidR="00C70320" w:rsidRPr="003922C5">
        <w:rPr>
          <w:rFonts w:ascii="Book Antiqua" w:hAnsi="Book Antiqua" w:cstheme="minorHAnsi"/>
          <w:color w:val="000000" w:themeColor="text1"/>
          <w:sz w:val="24"/>
          <w:szCs w:val="24"/>
        </w:rPr>
        <w:t xml:space="preserve">transported to the comfort stations and were there </w:t>
      </w:r>
      <w:r w:rsidR="00605B10" w:rsidRPr="003922C5">
        <w:rPr>
          <w:rFonts w:ascii="Book Antiqua" w:hAnsi="Book Antiqua" w:cstheme="minorHAnsi"/>
          <w:color w:val="000000" w:themeColor="text1"/>
          <w:sz w:val="24"/>
          <w:szCs w:val="24"/>
        </w:rPr>
        <w:t>subjected to exploitation and</w:t>
      </w:r>
      <w:r w:rsidR="00E95115" w:rsidRPr="003922C5">
        <w:rPr>
          <w:rFonts w:ascii="Book Antiqua" w:hAnsi="Book Antiqua" w:cstheme="minorHAnsi"/>
          <w:color w:val="000000" w:themeColor="text1"/>
          <w:sz w:val="24"/>
          <w:szCs w:val="24"/>
        </w:rPr>
        <w:t xml:space="preserve"> sexual </w:t>
      </w:r>
      <w:r w:rsidR="00605B10" w:rsidRPr="003922C5">
        <w:rPr>
          <w:rFonts w:ascii="Book Antiqua" w:hAnsi="Book Antiqua" w:cstheme="minorHAnsi"/>
          <w:color w:val="000000" w:themeColor="text1"/>
          <w:sz w:val="24"/>
          <w:szCs w:val="24"/>
        </w:rPr>
        <w:t xml:space="preserve"> slavery</w:t>
      </w:r>
      <w:r w:rsidRPr="003922C5">
        <w:rPr>
          <w:rFonts w:ascii="Book Antiqua" w:hAnsi="Book Antiqua" w:cstheme="minorHAnsi"/>
          <w:color w:val="000000" w:themeColor="text1"/>
          <w:sz w:val="24"/>
          <w:szCs w:val="24"/>
        </w:rPr>
        <w:t>.</w:t>
      </w:r>
      <w:r w:rsidR="00605B10" w:rsidRPr="003922C5">
        <w:rPr>
          <w:rFonts w:ascii="Book Antiqua" w:hAnsi="Book Antiqua" w:cstheme="minorHAnsi"/>
          <w:color w:val="000000" w:themeColor="text1"/>
          <w:sz w:val="24"/>
          <w:szCs w:val="24"/>
        </w:rPr>
        <w:t xml:space="preserve"> </w:t>
      </w:r>
      <w:r w:rsidRPr="003922C5">
        <w:rPr>
          <w:rFonts w:ascii="Book Antiqua" w:hAnsi="Book Antiqua" w:cstheme="minorHAnsi"/>
          <w:color w:val="000000" w:themeColor="text1"/>
          <w:sz w:val="24"/>
          <w:szCs w:val="24"/>
        </w:rPr>
        <w:t>These factors are now recognised as the components of human trafficking.</w:t>
      </w:r>
      <w:r w:rsidRPr="003922C5">
        <w:rPr>
          <w:rStyle w:val="FootnoteReference"/>
          <w:rFonts w:ascii="Book Antiqua" w:hAnsi="Book Antiqua" w:cstheme="minorHAnsi"/>
          <w:color w:val="000000" w:themeColor="text1"/>
          <w:sz w:val="24"/>
          <w:szCs w:val="24"/>
        </w:rPr>
        <w:t xml:space="preserve"> </w:t>
      </w:r>
      <w:r w:rsidRPr="003922C5">
        <w:rPr>
          <w:rStyle w:val="FootnoteReference"/>
          <w:rFonts w:ascii="Book Antiqua" w:hAnsi="Book Antiqua" w:cstheme="minorHAnsi"/>
          <w:color w:val="000000" w:themeColor="text1"/>
          <w:sz w:val="24"/>
          <w:szCs w:val="24"/>
        </w:rPr>
        <w:footnoteReference w:id="61"/>
      </w:r>
      <w:r w:rsidRPr="003922C5">
        <w:rPr>
          <w:rFonts w:ascii="Book Antiqua" w:hAnsi="Book Antiqua" w:cstheme="minorHAnsi"/>
          <w:color w:val="000000" w:themeColor="text1"/>
          <w:sz w:val="24"/>
          <w:szCs w:val="24"/>
        </w:rPr>
        <w:t xml:space="preserve"> While going to war and military activity are sovereign acts the same cannot be said of acts that constitute sexual exploitation and labour</w:t>
      </w:r>
      <w:r w:rsidR="00E95115" w:rsidRPr="003922C5">
        <w:rPr>
          <w:rFonts w:ascii="Book Antiqua" w:hAnsi="Book Antiqua" w:cstheme="minorHAnsi"/>
          <w:color w:val="000000" w:themeColor="text1"/>
          <w:sz w:val="24"/>
          <w:szCs w:val="24"/>
        </w:rPr>
        <w:t>.</w:t>
      </w:r>
    </w:p>
    <w:p w14:paraId="0040AE47" w14:textId="77777777" w:rsidR="00584BE2" w:rsidRPr="00584BE2" w:rsidRDefault="00584BE2" w:rsidP="00584BE2">
      <w:pPr>
        <w:pStyle w:val="ListParagraph"/>
        <w:rPr>
          <w:rFonts w:ascii="Book Antiqua" w:hAnsi="Book Antiqua" w:cstheme="minorHAnsi"/>
          <w:b/>
          <w:bCs/>
          <w:color w:val="000000" w:themeColor="text1"/>
          <w:sz w:val="24"/>
          <w:szCs w:val="24"/>
          <w:shd w:val="clear" w:color="auto" w:fill="FFFFFF"/>
        </w:rPr>
      </w:pPr>
    </w:p>
    <w:p w14:paraId="746E2218" w14:textId="7E5925CC" w:rsidR="00584BE2" w:rsidRPr="00AF4F09" w:rsidRDefault="00584BE2" w:rsidP="00584BE2">
      <w:pPr>
        <w:pStyle w:val="ListParagraph"/>
        <w:numPr>
          <w:ilvl w:val="0"/>
          <w:numId w:val="1"/>
        </w:numPr>
        <w:spacing w:line="360" w:lineRule="auto"/>
        <w:jc w:val="both"/>
        <w:rPr>
          <w:rFonts w:ascii="Book Antiqua" w:hAnsi="Book Antiqua" w:cstheme="minorHAnsi"/>
          <w:color w:val="000000" w:themeColor="text1"/>
          <w:sz w:val="24"/>
          <w:szCs w:val="24"/>
        </w:rPr>
      </w:pPr>
      <w:r w:rsidRPr="005311C6">
        <w:rPr>
          <w:rFonts w:ascii="Book Antiqua" w:hAnsi="Book Antiqua" w:cstheme="minorHAnsi"/>
          <w:color w:val="000000" w:themeColor="text1"/>
          <w:sz w:val="24"/>
          <w:szCs w:val="24"/>
        </w:rPr>
        <w:t xml:space="preserve">We </w:t>
      </w:r>
      <w:proofErr w:type="gramStart"/>
      <w:r>
        <w:rPr>
          <w:rFonts w:ascii="Book Antiqua" w:hAnsi="Book Antiqua" w:cstheme="minorHAnsi"/>
          <w:color w:val="000000" w:themeColor="text1"/>
          <w:sz w:val="24"/>
          <w:szCs w:val="24"/>
        </w:rPr>
        <w:t>are  therefore</w:t>
      </w:r>
      <w:proofErr w:type="gramEnd"/>
      <w:r>
        <w:rPr>
          <w:rFonts w:ascii="Book Antiqua" w:hAnsi="Book Antiqua" w:cstheme="minorHAnsi"/>
          <w:color w:val="000000" w:themeColor="text1"/>
          <w:sz w:val="24"/>
          <w:szCs w:val="24"/>
        </w:rPr>
        <w:t xml:space="preserve"> of the opinion</w:t>
      </w:r>
      <w:r w:rsidRPr="005311C6">
        <w:rPr>
          <w:rFonts w:ascii="Book Antiqua" w:hAnsi="Book Antiqua" w:cstheme="minorHAnsi"/>
          <w:color w:val="000000" w:themeColor="text1"/>
          <w:sz w:val="24"/>
          <w:szCs w:val="24"/>
        </w:rPr>
        <w:t xml:space="preserve"> that according state immunity to Japan for gender crimes committed against the so-called “comfort women” is contrary to this Security Council agenda, reiterated through ten resolutions over a twenty-year period. The Council has recognised the importance of criminal trials in national courts of individuals accused conflict-affected sexual violence and the responsibility of states to ensure access to justice. It is</w:t>
      </w:r>
      <w:r>
        <w:rPr>
          <w:rFonts w:ascii="Book Antiqua" w:hAnsi="Book Antiqua" w:cstheme="minorHAnsi"/>
          <w:color w:val="000000" w:themeColor="text1"/>
          <w:sz w:val="24"/>
          <w:szCs w:val="24"/>
        </w:rPr>
        <w:t xml:space="preserve"> further</w:t>
      </w:r>
      <w:r w:rsidRPr="005311C6">
        <w:rPr>
          <w:rFonts w:ascii="Book Antiqua" w:hAnsi="Book Antiqua" w:cstheme="minorHAnsi"/>
          <w:color w:val="000000" w:themeColor="text1"/>
          <w:sz w:val="24"/>
          <w:szCs w:val="24"/>
        </w:rPr>
        <w:t xml:space="preserve"> inconsistent with </w:t>
      </w:r>
      <w:r w:rsidRPr="005311C6">
        <w:rPr>
          <w:rFonts w:ascii="Book Antiqua" w:hAnsi="Book Antiqua"/>
          <w:color w:val="000000" w:themeColor="text1"/>
          <w:sz w:val="24"/>
          <w:szCs w:val="24"/>
        </w:rPr>
        <w:t xml:space="preserve">calls to states to refuse amnesty for such crimes in peace processes to accord immunity from jurisdiction in national courts to answer for such crimes. Further </w:t>
      </w:r>
      <w:r w:rsidRPr="005311C6">
        <w:rPr>
          <w:rFonts w:ascii="Book Antiqua" w:hAnsi="Book Antiqua" w:cstheme="minorHAnsi"/>
          <w:color w:val="000000" w:themeColor="text1"/>
          <w:sz w:val="24"/>
          <w:szCs w:val="24"/>
        </w:rPr>
        <w:t xml:space="preserve">Resolution 2467 emphasises the importance of a </w:t>
      </w:r>
      <w:r>
        <w:rPr>
          <w:rFonts w:ascii="Book Antiqua" w:hAnsi="Book Antiqua" w:cstheme="minorHAnsi"/>
          <w:color w:val="000000" w:themeColor="text1"/>
          <w:sz w:val="24"/>
          <w:szCs w:val="24"/>
        </w:rPr>
        <w:t>‘</w:t>
      </w:r>
      <w:r w:rsidRPr="005311C6">
        <w:rPr>
          <w:rFonts w:ascii="Book Antiqua" w:hAnsi="Book Antiqua" w:cstheme="minorHAnsi"/>
          <w:color w:val="000000" w:themeColor="text1"/>
          <w:sz w:val="24"/>
          <w:szCs w:val="24"/>
        </w:rPr>
        <w:t>survivor-centred</w:t>
      </w:r>
      <w:r>
        <w:rPr>
          <w:rFonts w:ascii="Book Antiqua" w:hAnsi="Book Antiqua" w:cstheme="minorHAnsi"/>
          <w:color w:val="000000" w:themeColor="text1"/>
          <w:sz w:val="24"/>
          <w:szCs w:val="24"/>
        </w:rPr>
        <w:t>’</w:t>
      </w:r>
      <w:r w:rsidRPr="005311C6">
        <w:rPr>
          <w:rFonts w:ascii="Book Antiqua" w:hAnsi="Book Antiqua" w:cstheme="minorHAnsi"/>
          <w:color w:val="000000" w:themeColor="text1"/>
          <w:sz w:val="24"/>
          <w:szCs w:val="24"/>
        </w:rPr>
        <w:t xml:space="preserve"> approach to </w:t>
      </w:r>
      <w:r w:rsidRPr="005311C6">
        <w:rPr>
          <w:rFonts w:ascii="Book Antiqua" w:hAnsi="Book Antiqua"/>
          <w:color w:val="000000" w:themeColor="text1"/>
          <w:sz w:val="24"/>
          <w:szCs w:val="24"/>
        </w:rPr>
        <w:t xml:space="preserve">preventing and responding to sexual violence in conflict and post-conflict situations; protecting the state from answering for its actions does not accord with according priority to the needs and rights of survivors. </w:t>
      </w:r>
    </w:p>
    <w:p w14:paraId="2DCF2EBC" w14:textId="77777777" w:rsidR="00584BE2" w:rsidRPr="00CE3C01" w:rsidRDefault="00584BE2" w:rsidP="00584BE2">
      <w:pPr>
        <w:pStyle w:val="ListParagraph"/>
        <w:spacing w:line="360" w:lineRule="auto"/>
        <w:jc w:val="both"/>
        <w:rPr>
          <w:rFonts w:ascii="Book Antiqua" w:hAnsi="Book Antiqua" w:cstheme="minorHAnsi"/>
          <w:b/>
          <w:bCs/>
          <w:color w:val="000000" w:themeColor="text1"/>
          <w:sz w:val="24"/>
          <w:szCs w:val="24"/>
          <w:shd w:val="clear" w:color="auto" w:fill="FFFFFF"/>
        </w:rPr>
      </w:pPr>
    </w:p>
    <w:p w14:paraId="7E7243FB" w14:textId="39D881D9" w:rsidR="008732B7" w:rsidRPr="008732B7" w:rsidRDefault="00043273" w:rsidP="008732B7">
      <w:pPr>
        <w:spacing w:line="360" w:lineRule="auto"/>
        <w:jc w:val="both"/>
        <w:rPr>
          <w:rFonts w:ascii="Book Antiqua" w:hAnsi="Book Antiqua" w:cstheme="minorHAnsi"/>
          <w:b/>
          <w:bCs/>
          <w:color w:val="000000" w:themeColor="text1"/>
          <w:sz w:val="24"/>
          <w:szCs w:val="24"/>
          <w:shd w:val="clear" w:color="auto" w:fill="FFFFFF"/>
        </w:rPr>
      </w:pPr>
      <w:r>
        <w:rPr>
          <w:rFonts w:ascii="Book Antiqua" w:hAnsi="Book Antiqua" w:cstheme="minorHAnsi"/>
          <w:b/>
          <w:bCs/>
          <w:color w:val="000000" w:themeColor="text1"/>
          <w:sz w:val="24"/>
          <w:szCs w:val="24"/>
          <w:shd w:val="clear" w:color="auto" w:fill="FFFFFF"/>
        </w:rPr>
        <w:t xml:space="preserve">Conclusion </w:t>
      </w:r>
    </w:p>
    <w:p w14:paraId="13009718" w14:textId="77777777" w:rsidR="00AF4F09" w:rsidRPr="00DF7986" w:rsidRDefault="00AF4F09" w:rsidP="00AF4F09">
      <w:pPr>
        <w:pStyle w:val="ListParagraph"/>
        <w:spacing w:line="360" w:lineRule="auto"/>
        <w:jc w:val="both"/>
        <w:rPr>
          <w:rFonts w:ascii="Book Antiqua" w:hAnsi="Book Antiqua" w:cstheme="minorHAnsi"/>
          <w:color w:val="000000" w:themeColor="text1"/>
          <w:sz w:val="24"/>
          <w:szCs w:val="24"/>
        </w:rPr>
      </w:pPr>
    </w:p>
    <w:p w14:paraId="37A43BBC" w14:textId="37031419" w:rsidR="008732B7" w:rsidRPr="008732B7" w:rsidRDefault="008732B7" w:rsidP="00AF4F09">
      <w:pPr>
        <w:pStyle w:val="ListParagraph"/>
        <w:numPr>
          <w:ilvl w:val="0"/>
          <w:numId w:val="1"/>
        </w:numPr>
        <w:spacing w:line="360" w:lineRule="auto"/>
        <w:jc w:val="both"/>
        <w:rPr>
          <w:rFonts w:ascii="Book Antiqua" w:hAnsi="Book Antiqua" w:cstheme="minorHAnsi"/>
          <w:b/>
          <w:bCs/>
          <w:color w:val="000000" w:themeColor="text1"/>
          <w:sz w:val="24"/>
          <w:szCs w:val="24"/>
          <w:shd w:val="clear" w:color="auto" w:fill="FFFFFF"/>
        </w:rPr>
      </w:pPr>
      <w:r>
        <w:rPr>
          <w:rFonts w:ascii="Book Antiqua" w:hAnsi="Book Antiqua" w:cstheme="minorHAnsi"/>
          <w:color w:val="000000" w:themeColor="text1"/>
          <w:sz w:val="24"/>
          <w:szCs w:val="24"/>
        </w:rPr>
        <w:t xml:space="preserve">The forum state (Republic of Korea) has obligations to ensure access to justice for women under CEDAW and to uphold the principle of gender equality. In determining the applicability of state immunity in this case, the Court must satisfy itself that the exceptions, commercial transaction, employment and personal injury, do not apply. It is difficult to see how the sexual slavery of comfort women can be categorised as sovereign acts. On this basis, it is open to the court to analyse and find that it has jurisdiction on the basis of the restrictive model of state immunity. </w:t>
      </w:r>
    </w:p>
    <w:p w14:paraId="0C26C878" w14:textId="77777777" w:rsidR="008732B7" w:rsidRPr="008732B7" w:rsidRDefault="008732B7" w:rsidP="008732B7">
      <w:pPr>
        <w:pStyle w:val="ListParagraph"/>
        <w:spacing w:line="360" w:lineRule="auto"/>
        <w:jc w:val="both"/>
        <w:rPr>
          <w:rFonts w:ascii="Book Antiqua" w:hAnsi="Book Antiqua" w:cstheme="minorHAnsi"/>
          <w:b/>
          <w:bCs/>
          <w:color w:val="000000" w:themeColor="text1"/>
          <w:sz w:val="24"/>
          <w:szCs w:val="24"/>
          <w:shd w:val="clear" w:color="auto" w:fill="FFFFFF"/>
        </w:rPr>
      </w:pPr>
    </w:p>
    <w:p w14:paraId="46E55EB6" w14:textId="0444D99B" w:rsidR="008732B7" w:rsidRPr="008732B7" w:rsidRDefault="008732B7" w:rsidP="00AF4F09">
      <w:pPr>
        <w:pStyle w:val="ListParagraph"/>
        <w:numPr>
          <w:ilvl w:val="0"/>
          <w:numId w:val="1"/>
        </w:numPr>
        <w:spacing w:line="360" w:lineRule="auto"/>
        <w:jc w:val="both"/>
        <w:rPr>
          <w:rFonts w:ascii="Book Antiqua" w:hAnsi="Book Antiqua" w:cstheme="minorHAnsi"/>
          <w:b/>
          <w:bCs/>
          <w:color w:val="000000" w:themeColor="text1"/>
          <w:sz w:val="24"/>
          <w:szCs w:val="24"/>
          <w:shd w:val="clear" w:color="auto" w:fill="FFFFFF"/>
        </w:rPr>
      </w:pPr>
      <w:proofErr w:type="gramStart"/>
      <w:r>
        <w:rPr>
          <w:rFonts w:ascii="Book Antiqua" w:hAnsi="Book Antiqua" w:cstheme="minorHAnsi"/>
          <w:color w:val="000000" w:themeColor="text1"/>
          <w:sz w:val="24"/>
          <w:szCs w:val="24"/>
        </w:rPr>
        <w:t>Additionally</w:t>
      </w:r>
      <w:proofErr w:type="gramEnd"/>
      <w:r>
        <w:rPr>
          <w:rFonts w:ascii="Book Antiqua" w:hAnsi="Book Antiqua" w:cstheme="minorHAnsi"/>
          <w:color w:val="000000" w:themeColor="text1"/>
          <w:sz w:val="24"/>
          <w:szCs w:val="24"/>
        </w:rPr>
        <w:t xml:space="preserve"> or in the alternative, without a gender lens, state immunity</w:t>
      </w:r>
      <w:r w:rsidRPr="00855D4E">
        <w:rPr>
          <w:rFonts w:ascii="Book Antiqua" w:hAnsi="Book Antiqua" w:cstheme="minorHAnsi"/>
          <w:color w:val="000000" w:themeColor="text1"/>
          <w:sz w:val="24"/>
          <w:szCs w:val="24"/>
        </w:rPr>
        <w:t xml:space="preserve"> is exposed as protecting the concerns of the sovereign (male) state</w:t>
      </w:r>
      <w:r>
        <w:rPr>
          <w:rFonts w:ascii="Book Antiqua" w:hAnsi="Book Antiqua" w:cstheme="minorHAnsi"/>
          <w:color w:val="000000" w:themeColor="text1"/>
          <w:sz w:val="24"/>
          <w:szCs w:val="24"/>
        </w:rPr>
        <w:t xml:space="preserve">, </w:t>
      </w:r>
      <w:r w:rsidRPr="00855D4E">
        <w:rPr>
          <w:rFonts w:ascii="Book Antiqua" w:hAnsi="Book Antiqua" w:cstheme="minorHAnsi"/>
          <w:color w:val="000000" w:themeColor="text1"/>
          <w:sz w:val="24"/>
          <w:szCs w:val="24"/>
        </w:rPr>
        <w:t>providing a shield to the masculinised activities of war</w:t>
      </w:r>
      <w:r>
        <w:rPr>
          <w:rFonts w:ascii="Book Antiqua" w:hAnsi="Book Antiqua" w:cstheme="minorHAnsi"/>
          <w:color w:val="000000" w:themeColor="text1"/>
          <w:sz w:val="24"/>
          <w:szCs w:val="24"/>
        </w:rPr>
        <w:t>. The</w:t>
      </w:r>
      <w:r w:rsidRPr="00855D4E">
        <w:rPr>
          <w:rFonts w:ascii="Book Antiqua" w:hAnsi="Book Antiqua" w:cstheme="minorHAnsi"/>
          <w:color w:val="000000" w:themeColor="text1"/>
          <w:sz w:val="24"/>
          <w:szCs w:val="24"/>
        </w:rPr>
        <w:t xml:space="preserve"> restrictive immunity</w:t>
      </w:r>
      <w:r>
        <w:rPr>
          <w:rFonts w:ascii="Book Antiqua" w:hAnsi="Book Antiqua" w:cstheme="minorHAnsi"/>
          <w:color w:val="000000" w:themeColor="text1"/>
          <w:sz w:val="24"/>
          <w:szCs w:val="24"/>
        </w:rPr>
        <w:t xml:space="preserve"> model</w:t>
      </w:r>
      <w:r w:rsidRPr="00855D4E">
        <w:rPr>
          <w:rFonts w:ascii="Book Antiqua" w:hAnsi="Book Antiqua" w:cstheme="minorHAnsi"/>
          <w:color w:val="000000" w:themeColor="text1"/>
          <w:sz w:val="24"/>
          <w:szCs w:val="24"/>
        </w:rPr>
        <w:t xml:space="preserve"> </w:t>
      </w:r>
      <w:r>
        <w:rPr>
          <w:rFonts w:ascii="Book Antiqua" w:hAnsi="Book Antiqua" w:cstheme="minorHAnsi"/>
          <w:color w:val="000000" w:themeColor="text1"/>
          <w:sz w:val="24"/>
          <w:szCs w:val="24"/>
        </w:rPr>
        <w:t xml:space="preserve">has </w:t>
      </w:r>
      <w:r w:rsidRPr="00855D4E">
        <w:rPr>
          <w:rFonts w:ascii="Book Antiqua" w:hAnsi="Book Antiqua" w:cstheme="minorHAnsi"/>
          <w:color w:val="000000" w:themeColor="text1"/>
          <w:sz w:val="24"/>
          <w:szCs w:val="24"/>
        </w:rPr>
        <w:t xml:space="preserve">recognised when the interests of other men need to be protected (commercial activities) but not where those activities involve violations of human rights of women outside the legal frameworks of employment and </w:t>
      </w:r>
      <w:r>
        <w:rPr>
          <w:rFonts w:ascii="Book Antiqua" w:hAnsi="Book Antiqua" w:cstheme="minorHAnsi"/>
          <w:color w:val="000000" w:themeColor="text1"/>
          <w:sz w:val="24"/>
          <w:szCs w:val="24"/>
        </w:rPr>
        <w:t>commercial transactions. It is therefore imperative that the court adopts a gender and human rights lens when considering the application of state immunity to this case</w:t>
      </w:r>
      <w:r w:rsidR="00997AF8">
        <w:rPr>
          <w:rFonts w:ascii="Book Antiqua" w:hAnsi="Book Antiqua" w:cstheme="minorHAnsi"/>
          <w:color w:val="000000" w:themeColor="text1"/>
          <w:sz w:val="24"/>
          <w:szCs w:val="24"/>
        </w:rPr>
        <w:t xml:space="preserve"> on a broader human rights basis. </w:t>
      </w:r>
    </w:p>
    <w:p w14:paraId="363AB964" w14:textId="686F5204" w:rsidR="008732B7" w:rsidRPr="008732B7" w:rsidRDefault="008732B7" w:rsidP="008732B7">
      <w:pPr>
        <w:spacing w:line="360" w:lineRule="auto"/>
        <w:jc w:val="both"/>
        <w:rPr>
          <w:rFonts w:ascii="Book Antiqua" w:hAnsi="Book Antiqua" w:cstheme="minorHAnsi"/>
          <w:b/>
          <w:bCs/>
          <w:color w:val="000000" w:themeColor="text1"/>
          <w:sz w:val="24"/>
          <w:szCs w:val="24"/>
          <w:shd w:val="clear" w:color="auto" w:fill="FFFFFF"/>
        </w:rPr>
      </w:pPr>
    </w:p>
    <w:p w14:paraId="7C1AE977" w14:textId="6FAAD255" w:rsidR="00AC268F" w:rsidRPr="00C9341B" w:rsidRDefault="00AC268F" w:rsidP="00C9341B"/>
    <w:p w14:paraId="6F26D202" w14:textId="77777777" w:rsidR="003E5810" w:rsidRPr="003922C5" w:rsidRDefault="003E5810" w:rsidP="00C9341B">
      <w:pPr>
        <w:pStyle w:val="ListParagraph"/>
        <w:rPr>
          <w:rFonts w:ascii="Book Antiqua" w:hAnsi="Book Antiqua" w:cstheme="minorHAnsi"/>
          <w:color w:val="000000" w:themeColor="text1"/>
          <w:sz w:val="24"/>
          <w:szCs w:val="24"/>
        </w:rPr>
      </w:pPr>
    </w:p>
    <w:sectPr w:rsidR="003E5810" w:rsidRPr="003922C5">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15875" w14:textId="77777777" w:rsidR="00BB58C7" w:rsidRDefault="00BB58C7" w:rsidP="00BA693A">
      <w:pPr>
        <w:spacing w:after="0" w:line="240" w:lineRule="auto"/>
      </w:pPr>
      <w:r>
        <w:separator/>
      </w:r>
    </w:p>
  </w:endnote>
  <w:endnote w:type="continuationSeparator" w:id="0">
    <w:p w14:paraId="18205FBA" w14:textId="77777777" w:rsidR="00BB58C7" w:rsidRDefault="00BB58C7" w:rsidP="00BA6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37747205"/>
      <w:docPartObj>
        <w:docPartGallery w:val="Page Numbers (Bottom of Page)"/>
        <w:docPartUnique/>
      </w:docPartObj>
    </w:sdtPr>
    <w:sdtContent>
      <w:p w14:paraId="6802D637" w14:textId="02B0A5D9" w:rsidR="007175B1" w:rsidRDefault="007175B1" w:rsidP="007175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8A198B" w14:textId="77777777" w:rsidR="007175B1" w:rsidRDefault="007175B1" w:rsidP="00C87A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8907159"/>
      <w:docPartObj>
        <w:docPartGallery w:val="Page Numbers (Bottom of Page)"/>
        <w:docPartUnique/>
      </w:docPartObj>
    </w:sdtPr>
    <w:sdtContent>
      <w:p w14:paraId="67C7CA30" w14:textId="67EE44D0" w:rsidR="007175B1" w:rsidRDefault="007175B1" w:rsidP="007175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E2AB05" w14:textId="77777777" w:rsidR="007175B1" w:rsidRDefault="007175B1" w:rsidP="00C87A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6F265" w14:textId="77777777" w:rsidR="00BB58C7" w:rsidRDefault="00BB58C7" w:rsidP="00BA693A">
      <w:pPr>
        <w:spacing w:after="0" w:line="240" w:lineRule="auto"/>
      </w:pPr>
      <w:r>
        <w:separator/>
      </w:r>
    </w:p>
  </w:footnote>
  <w:footnote w:type="continuationSeparator" w:id="0">
    <w:p w14:paraId="43D55524" w14:textId="77777777" w:rsidR="00BB58C7" w:rsidRDefault="00BB58C7" w:rsidP="00BA693A">
      <w:pPr>
        <w:spacing w:after="0" w:line="240" w:lineRule="auto"/>
      </w:pPr>
      <w:r>
        <w:continuationSeparator/>
      </w:r>
    </w:p>
  </w:footnote>
  <w:footnote w:id="1">
    <w:p w14:paraId="1F0D1C4A" w14:textId="64E6C4B0" w:rsidR="007175B1" w:rsidRPr="000A3D2B" w:rsidRDefault="007175B1">
      <w:pPr>
        <w:pStyle w:val="FootnoteText"/>
        <w:rPr>
          <w:lang w:val="en-GB"/>
        </w:rPr>
      </w:pPr>
      <w:r>
        <w:rPr>
          <w:rStyle w:val="FootnoteReference"/>
        </w:rPr>
        <w:footnoteRef/>
      </w:r>
      <w:r>
        <w:t xml:space="preserve"> Commission on Human Rights, Report of the Special Rapporteur on violence against women, its causes and consequences, </w:t>
      </w:r>
      <w:proofErr w:type="spellStart"/>
      <w:r>
        <w:t>Ms</w:t>
      </w:r>
      <w:proofErr w:type="spellEnd"/>
      <w:r>
        <w:t xml:space="preserve"> </w:t>
      </w:r>
      <w:proofErr w:type="spellStart"/>
      <w:r>
        <w:t>Radihka</w:t>
      </w:r>
      <w:proofErr w:type="spellEnd"/>
      <w:r>
        <w:t xml:space="preserve"> Coomaraswamy in accordance with Commission on Human Rights Resolution 1994/45. E/CN.4/1996/53/Add.1, 4 January 1996. </w:t>
      </w:r>
    </w:p>
  </w:footnote>
  <w:footnote w:id="2">
    <w:p w14:paraId="00C488DC" w14:textId="7E9E61D0" w:rsidR="007175B1" w:rsidRPr="006B53AD" w:rsidRDefault="007175B1" w:rsidP="006B53AD">
      <w:pPr>
        <w:pStyle w:val="FootnoteText"/>
        <w:jc w:val="both"/>
        <w:rPr>
          <w:rFonts w:ascii="Book Antiqua" w:hAnsi="Book Antiqua"/>
          <w:color w:val="000000" w:themeColor="text1"/>
          <w:lang w:val="en-GB"/>
        </w:rPr>
      </w:pPr>
      <w:r w:rsidRPr="006B53AD">
        <w:rPr>
          <w:rStyle w:val="FootnoteReference"/>
          <w:rFonts w:ascii="Book Antiqua" w:hAnsi="Book Antiqua"/>
          <w:color w:val="000000" w:themeColor="text1"/>
        </w:rPr>
        <w:footnoteRef/>
      </w:r>
      <w:r w:rsidRPr="006B53AD">
        <w:rPr>
          <w:rFonts w:ascii="Book Antiqua" w:hAnsi="Book Antiqua"/>
          <w:color w:val="000000" w:themeColor="text1"/>
        </w:rPr>
        <w:t xml:space="preserve"> Committee on the Elimination of Discrimination against Women (</w:t>
      </w:r>
      <w:r w:rsidRPr="006B53AD">
        <w:rPr>
          <w:rFonts w:ascii="Book Antiqua" w:hAnsi="Book Antiqua"/>
          <w:color w:val="000000" w:themeColor="text1"/>
          <w:lang w:val="en-GB"/>
        </w:rPr>
        <w:t xml:space="preserve">CEDAW Committee), </w:t>
      </w:r>
      <w:r w:rsidRPr="006B53AD">
        <w:rPr>
          <w:rFonts w:ascii="Book Antiqua" w:hAnsi="Book Antiqua"/>
          <w:color w:val="000000" w:themeColor="text1"/>
        </w:rPr>
        <w:t xml:space="preserve">General Recommendation No. 28 on the core obligations of States parties under article 2 of the Convention on the Elimination of All Forms of Discrimination against Women, CEDAW/C/GC/28, 2010, para. 3.  </w:t>
      </w:r>
    </w:p>
  </w:footnote>
  <w:footnote w:id="3">
    <w:p w14:paraId="79AB576D" w14:textId="3478EE1B" w:rsidR="007175B1" w:rsidRPr="006B53AD" w:rsidRDefault="007175B1" w:rsidP="006B53AD">
      <w:pPr>
        <w:pStyle w:val="FootnoteText"/>
        <w:jc w:val="both"/>
        <w:rPr>
          <w:rFonts w:ascii="Book Antiqua" w:hAnsi="Book Antiqua"/>
          <w:color w:val="000000" w:themeColor="text1"/>
          <w:lang w:val="en-GB"/>
        </w:rPr>
      </w:pPr>
      <w:r w:rsidRPr="006B53AD">
        <w:rPr>
          <w:rStyle w:val="FootnoteReference"/>
          <w:rFonts w:ascii="Book Antiqua" w:hAnsi="Book Antiqua"/>
          <w:color w:val="000000" w:themeColor="text1"/>
        </w:rPr>
        <w:footnoteRef/>
      </w:r>
      <w:r w:rsidRPr="006B53AD">
        <w:rPr>
          <w:rFonts w:ascii="Book Antiqua" w:hAnsi="Book Antiqua"/>
          <w:color w:val="000000" w:themeColor="text1"/>
        </w:rPr>
        <w:t xml:space="preserve"> </w:t>
      </w:r>
      <w:r w:rsidRPr="006B53AD">
        <w:rPr>
          <w:rFonts w:ascii="Book Antiqua" w:hAnsi="Book Antiqua"/>
          <w:color w:val="000000" w:themeColor="text1"/>
          <w:lang w:val="en-GB"/>
        </w:rPr>
        <w:t>Vienna Convention on the Law of Treaties, 1969, Article 26: ‘</w:t>
      </w:r>
      <w:r w:rsidRPr="006B53AD">
        <w:rPr>
          <w:rFonts w:ascii="Book Antiqua" w:hAnsi="Book Antiqua"/>
          <w:color w:val="000000" w:themeColor="text1"/>
        </w:rPr>
        <w:t xml:space="preserve">Every treaty in force is binding upon the parties to it and must be performed by them in good faith.’ The Republic of Korea and Japan are both parties to the Vienna Convention. </w:t>
      </w:r>
    </w:p>
  </w:footnote>
  <w:footnote w:id="4">
    <w:p w14:paraId="0DF36834" w14:textId="0F2ECA05" w:rsidR="007175B1" w:rsidRPr="006B53AD" w:rsidRDefault="007175B1" w:rsidP="006B53AD">
      <w:pPr>
        <w:pStyle w:val="FootnoteText"/>
        <w:jc w:val="both"/>
        <w:rPr>
          <w:rFonts w:ascii="Book Antiqua" w:hAnsi="Book Antiqua"/>
          <w:color w:val="000000" w:themeColor="text1"/>
          <w:lang w:val="en-GB"/>
        </w:rPr>
      </w:pPr>
      <w:r w:rsidRPr="006B53AD">
        <w:rPr>
          <w:rStyle w:val="FootnoteReference"/>
          <w:rFonts w:ascii="Book Antiqua" w:hAnsi="Book Antiqua"/>
          <w:color w:val="000000" w:themeColor="text1"/>
        </w:rPr>
        <w:footnoteRef/>
      </w:r>
      <w:r w:rsidRPr="006B53AD">
        <w:rPr>
          <w:rFonts w:ascii="Book Antiqua" w:hAnsi="Book Antiqua"/>
          <w:color w:val="000000" w:themeColor="text1"/>
        </w:rPr>
        <w:t xml:space="preserve"> </w:t>
      </w:r>
      <w:r w:rsidRPr="006B53AD">
        <w:rPr>
          <w:rFonts w:ascii="Book Antiqua" w:hAnsi="Book Antiqua"/>
          <w:color w:val="000000" w:themeColor="text1"/>
          <w:lang w:val="en-GB"/>
        </w:rPr>
        <w:t xml:space="preserve">The Republic of Korea acceded to the ICCPR on 10 June 1990 and to the ICESCR on; 10 April 1990; Japan ratified both the ICCPR and ICESCR on 21 June 1979.  </w:t>
      </w:r>
    </w:p>
  </w:footnote>
  <w:footnote w:id="5">
    <w:p w14:paraId="7032C480" w14:textId="77777777" w:rsidR="007175B1" w:rsidRPr="006B53AD" w:rsidRDefault="007175B1" w:rsidP="006B53AD">
      <w:pPr>
        <w:pStyle w:val="FootnoteText"/>
        <w:jc w:val="both"/>
        <w:rPr>
          <w:rFonts w:ascii="Book Antiqua" w:hAnsi="Book Antiqua"/>
          <w:color w:val="000000" w:themeColor="text1"/>
          <w:lang w:val="en-GB"/>
        </w:rPr>
      </w:pPr>
      <w:r w:rsidRPr="006B53AD">
        <w:rPr>
          <w:rStyle w:val="FootnoteReference"/>
          <w:rFonts w:ascii="Book Antiqua" w:hAnsi="Book Antiqua"/>
          <w:color w:val="000000" w:themeColor="text1"/>
        </w:rPr>
        <w:footnoteRef/>
      </w:r>
      <w:r w:rsidRPr="006B53AD">
        <w:rPr>
          <w:rFonts w:ascii="Book Antiqua" w:hAnsi="Book Antiqua"/>
          <w:color w:val="000000" w:themeColor="text1"/>
        </w:rPr>
        <w:t xml:space="preserve"> </w:t>
      </w:r>
      <w:r w:rsidRPr="006B53AD">
        <w:rPr>
          <w:rFonts w:ascii="Book Antiqua" w:hAnsi="Book Antiqua"/>
          <w:color w:val="000000" w:themeColor="text1"/>
          <w:lang w:val="en-GB"/>
        </w:rPr>
        <w:t xml:space="preserve">The Republic of Korea ratified CEDAW on 27 December 1984. </w:t>
      </w:r>
    </w:p>
  </w:footnote>
  <w:footnote w:id="6">
    <w:p w14:paraId="66A957D6" w14:textId="77777777" w:rsidR="007175B1" w:rsidRPr="006B53AD" w:rsidRDefault="007175B1" w:rsidP="006B53AD">
      <w:pPr>
        <w:pStyle w:val="FootnoteText"/>
        <w:jc w:val="both"/>
        <w:rPr>
          <w:rFonts w:ascii="Book Antiqua" w:hAnsi="Book Antiqua"/>
          <w:color w:val="000000" w:themeColor="text1"/>
          <w:lang w:val="en-GB"/>
        </w:rPr>
      </w:pPr>
      <w:r w:rsidRPr="006B53AD">
        <w:rPr>
          <w:rStyle w:val="FootnoteReference"/>
          <w:rFonts w:ascii="Book Antiqua" w:hAnsi="Book Antiqua"/>
          <w:color w:val="000000" w:themeColor="text1"/>
        </w:rPr>
        <w:footnoteRef/>
      </w:r>
      <w:r w:rsidRPr="006B53AD">
        <w:rPr>
          <w:rFonts w:ascii="Book Antiqua" w:hAnsi="Book Antiqua"/>
          <w:color w:val="000000" w:themeColor="text1"/>
        </w:rPr>
        <w:t xml:space="preserve"> </w:t>
      </w:r>
      <w:r w:rsidRPr="006B53AD">
        <w:rPr>
          <w:rFonts w:ascii="Book Antiqua" w:hAnsi="Book Antiqua"/>
          <w:color w:val="000000" w:themeColor="text1"/>
          <w:lang w:val="en-GB"/>
        </w:rPr>
        <w:t xml:space="preserve">Japan ratified CEDAW on 25 June 1985. </w:t>
      </w:r>
    </w:p>
  </w:footnote>
  <w:footnote w:id="7">
    <w:p w14:paraId="643987EA" w14:textId="77777777" w:rsidR="007175B1" w:rsidRPr="006B53AD" w:rsidRDefault="007175B1" w:rsidP="006B53AD">
      <w:pPr>
        <w:pStyle w:val="FootnoteText"/>
        <w:jc w:val="both"/>
        <w:rPr>
          <w:rFonts w:ascii="Book Antiqua" w:hAnsi="Book Antiqua"/>
          <w:color w:val="000000" w:themeColor="text1"/>
          <w:lang w:val="en-GB"/>
        </w:rPr>
      </w:pPr>
      <w:r w:rsidRPr="006B53AD">
        <w:rPr>
          <w:rStyle w:val="FootnoteReference"/>
          <w:rFonts w:ascii="Book Antiqua" w:hAnsi="Book Antiqua"/>
          <w:color w:val="000000" w:themeColor="text1"/>
        </w:rPr>
        <w:footnoteRef/>
      </w:r>
      <w:r w:rsidRPr="006B53AD">
        <w:rPr>
          <w:rFonts w:ascii="Book Antiqua" w:hAnsi="Book Antiqua"/>
          <w:color w:val="000000" w:themeColor="text1"/>
        </w:rPr>
        <w:t xml:space="preserve"> </w:t>
      </w:r>
      <w:r w:rsidRPr="006B53AD">
        <w:rPr>
          <w:rFonts w:ascii="Book Antiqua" w:hAnsi="Book Antiqua"/>
          <w:color w:val="000000" w:themeColor="text1"/>
          <w:lang w:val="en-GB"/>
        </w:rPr>
        <w:t xml:space="preserve">CEDAW Committee, </w:t>
      </w:r>
      <w:r w:rsidRPr="006B53AD">
        <w:rPr>
          <w:rFonts w:ascii="Book Antiqua" w:hAnsi="Book Antiqua"/>
          <w:color w:val="000000" w:themeColor="text1"/>
        </w:rPr>
        <w:t xml:space="preserve">General Recommendation No. 28 on the core obligations of States parties under article 2 of the Convention on the Elimination of All Forms of Discrimination against Women, CEDAW/C/GC/28, 2010, para. 5. </w:t>
      </w:r>
    </w:p>
  </w:footnote>
  <w:footnote w:id="8">
    <w:p w14:paraId="77EDDC50" w14:textId="49FDD6F0" w:rsidR="007175B1" w:rsidRPr="006B53AD" w:rsidRDefault="007175B1" w:rsidP="006B53AD">
      <w:pPr>
        <w:pStyle w:val="Footer"/>
        <w:tabs>
          <w:tab w:val="left" w:pos="720"/>
        </w:tabs>
        <w:ind w:left="-380"/>
        <w:jc w:val="both"/>
        <w:rPr>
          <w:rFonts w:ascii="Book Antiqua" w:hAnsi="Book Antiqua"/>
          <w:color w:val="000000" w:themeColor="text1"/>
          <w:sz w:val="20"/>
        </w:rPr>
      </w:pPr>
      <w:r w:rsidRPr="006B53AD">
        <w:rPr>
          <w:rStyle w:val="FootnoteReference"/>
          <w:rFonts w:ascii="Book Antiqua" w:hAnsi="Book Antiqua"/>
          <w:color w:val="000000" w:themeColor="text1"/>
          <w:sz w:val="20"/>
        </w:rPr>
        <w:footnoteRef/>
      </w:r>
      <w:r w:rsidRPr="006B53AD">
        <w:rPr>
          <w:rFonts w:ascii="Book Antiqua" w:hAnsi="Book Antiqua"/>
          <w:color w:val="000000" w:themeColor="text1"/>
          <w:sz w:val="20"/>
        </w:rPr>
        <w:t xml:space="preserve"> E.g. UN General Assembly, Vienna Declaration and Programme of Action, 1993, A/CONF.157/23, I, para 18; </w:t>
      </w:r>
      <w:r w:rsidRPr="006B53AD">
        <w:rPr>
          <w:rFonts w:ascii="Book Antiqua" w:hAnsi="Book Antiqua" w:cstheme="minorHAnsi"/>
          <w:color w:val="000000" w:themeColor="text1"/>
          <w:sz w:val="20"/>
        </w:rPr>
        <w:t xml:space="preserve">II, para 38; </w:t>
      </w:r>
      <w:bookmarkStart w:id="0" w:name="_Hlk26544621"/>
      <w:r w:rsidRPr="006B53AD">
        <w:rPr>
          <w:rFonts w:ascii="Book Antiqua" w:hAnsi="Book Antiqua" w:cs="Arial"/>
          <w:color w:val="000000" w:themeColor="text1"/>
          <w:sz w:val="20"/>
          <w:shd w:val="clear" w:color="auto" w:fill="FFFFFF"/>
        </w:rPr>
        <w:t xml:space="preserve">International Conference on Population and Development, Cairo, Egypt, September 1994, </w:t>
      </w:r>
      <w:r w:rsidRPr="006B53AD">
        <w:rPr>
          <w:rStyle w:val="Emphasis"/>
          <w:rFonts w:ascii="Book Antiqua" w:hAnsi="Book Antiqua" w:cs="Calibri"/>
          <w:i w:val="0"/>
          <w:iCs w:val="0"/>
          <w:color w:val="000000" w:themeColor="text1"/>
          <w:sz w:val="20"/>
        </w:rPr>
        <w:t xml:space="preserve">UN Doc. </w:t>
      </w:r>
      <w:r w:rsidRPr="006B53AD">
        <w:rPr>
          <w:rFonts w:ascii="Book Antiqua" w:hAnsi="Book Antiqua" w:cs="Calibri"/>
          <w:color w:val="000000" w:themeColor="text1"/>
          <w:sz w:val="20"/>
        </w:rPr>
        <w:t>A/CONF.171/13/Rev.1.</w:t>
      </w:r>
      <w:r w:rsidRPr="006B53AD">
        <w:rPr>
          <w:rFonts w:ascii="Book Antiqua" w:hAnsi="Book Antiqua" w:cs="Arial"/>
          <w:color w:val="000000" w:themeColor="text1"/>
          <w:sz w:val="20"/>
          <w:shd w:val="clear" w:color="auto" w:fill="FFFFFF"/>
        </w:rPr>
        <w:t>.</w:t>
      </w:r>
      <w:r w:rsidRPr="006B53AD">
        <w:rPr>
          <w:rFonts w:ascii="Book Antiqua" w:hAnsi="Book Antiqua" w:cstheme="minorHAnsi"/>
          <w:color w:val="000000" w:themeColor="text1"/>
          <w:sz w:val="20"/>
        </w:rPr>
        <w:t>Beijing Declaration and Platform for Action, 1995</w:t>
      </w:r>
      <w:bookmarkEnd w:id="0"/>
      <w:r w:rsidRPr="006B53AD">
        <w:rPr>
          <w:rFonts w:ascii="Book Antiqua" w:hAnsi="Book Antiqua" w:cstheme="minorHAnsi"/>
          <w:color w:val="000000" w:themeColor="text1"/>
          <w:sz w:val="20"/>
        </w:rPr>
        <w:t xml:space="preserve">, </w:t>
      </w:r>
      <w:r w:rsidRPr="006B53AD">
        <w:rPr>
          <w:rFonts w:ascii="Book Antiqua" w:hAnsi="Book Antiqua"/>
          <w:color w:val="000000" w:themeColor="text1"/>
          <w:sz w:val="20"/>
        </w:rPr>
        <w:t xml:space="preserve">A/CONF.177/20 (1995) and A/CONF.177/20/Add.1 (1995); </w:t>
      </w:r>
      <w:r w:rsidRPr="006B53AD">
        <w:rPr>
          <w:rFonts w:ascii="Book Antiqua" w:hAnsi="Book Antiqua" w:cs="Calibri"/>
          <w:color w:val="000000" w:themeColor="text1"/>
          <w:sz w:val="20"/>
        </w:rPr>
        <w:t>Gender Equality, Development and Peace for the 21</w:t>
      </w:r>
      <w:r w:rsidRPr="006B53AD">
        <w:rPr>
          <w:rFonts w:ascii="Book Antiqua" w:hAnsi="Book Antiqua" w:cs="Calibri"/>
          <w:color w:val="000000" w:themeColor="text1"/>
          <w:sz w:val="20"/>
          <w:vertAlign w:val="superscript"/>
        </w:rPr>
        <w:t>st</w:t>
      </w:r>
      <w:r w:rsidRPr="006B53AD">
        <w:rPr>
          <w:rFonts w:ascii="Book Antiqua" w:hAnsi="Book Antiqua" w:cs="Calibri"/>
          <w:color w:val="000000" w:themeColor="text1"/>
          <w:sz w:val="20"/>
        </w:rPr>
        <w:t xml:space="preserve"> Century.  Special Session of the General Assembly, 5-9 June 2000 (Beijing +5); Human Rights Council Resolutions including 6/30, 2007. </w:t>
      </w:r>
    </w:p>
  </w:footnote>
  <w:footnote w:id="9">
    <w:p w14:paraId="31490454" w14:textId="7DE20778" w:rsidR="007175B1" w:rsidRPr="006B53AD" w:rsidRDefault="007175B1" w:rsidP="006B53AD">
      <w:pPr>
        <w:pStyle w:val="BodyText2"/>
        <w:tabs>
          <w:tab w:val="left" w:pos="-720"/>
        </w:tabs>
        <w:suppressAutoHyphens/>
        <w:ind w:left="-380"/>
        <w:jc w:val="both"/>
        <w:rPr>
          <w:rFonts w:ascii="Book Antiqua" w:hAnsi="Book Antiqua" w:cstheme="minorHAnsi"/>
          <w:color w:val="000000" w:themeColor="text1"/>
          <w:sz w:val="20"/>
          <w:lang w:val="en-GB"/>
        </w:rPr>
      </w:pPr>
      <w:r w:rsidRPr="006B53AD">
        <w:rPr>
          <w:rStyle w:val="FootnoteReference"/>
          <w:rFonts w:ascii="Book Antiqua" w:hAnsi="Book Antiqua" w:cstheme="minorHAnsi"/>
          <w:color w:val="000000" w:themeColor="text1"/>
          <w:sz w:val="20"/>
        </w:rPr>
        <w:footnoteRef/>
      </w:r>
      <w:r w:rsidRPr="006B53AD">
        <w:rPr>
          <w:rFonts w:ascii="Book Antiqua" w:hAnsi="Book Antiqua" w:cstheme="minorHAnsi"/>
          <w:color w:val="000000" w:themeColor="text1"/>
          <w:sz w:val="20"/>
        </w:rPr>
        <w:t xml:space="preserve"> </w:t>
      </w:r>
      <w:r w:rsidRPr="006B53AD">
        <w:rPr>
          <w:rFonts w:ascii="Book Antiqua" w:hAnsi="Book Antiqua" w:cstheme="minorHAnsi"/>
          <w:color w:val="000000" w:themeColor="text1"/>
          <w:sz w:val="20"/>
          <w:lang w:val="en-GB"/>
        </w:rPr>
        <w:t>European Convention for the Protection of Human Rights and Fundamental Freedoms, Protocol No. 12: “</w:t>
      </w:r>
      <w:r w:rsidRPr="006B53AD">
        <w:rPr>
          <w:rFonts w:ascii="Book Antiqua" w:hAnsi="Book Antiqua" w:cstheme="minorHAnsi"/>
          <w:color w:val="000000" w:themeColor="text1"/>
          <w:sz w:val="20"/>
        </w:rPr>
        <w:t>T</w:t>
      </w:r>
      <w:r w:rsidRPr="006B53AD">
        <w:rPr>
          <w:rFonts w:ascii="Book Antiqua" w:hAnsi="Book Antiqua" w:cstheme="minorHAnsi"/>
          <w:color w:val="000000" w:themeColor="text1"/>
          <w:sz w:val="20"/>
          <w:shd w:val="clear" w:color="auto" w:fill="FFFFFF"/>
        </w:rPr>
        <w:t>he fundamental principle according to which all persons are equal before the law and are entitled to the equal protection of the law.”</w:t>
      </w:r>
    </w:p>
  </w:footnote>
  <w:footnote w:id="10">
    <w:p w14:paraId="0588FFCB" w14:textId="41280605" w:rsidR="007175B1" w:rsidRPr="006B53AD" w:rsidRDefault="007175B1" w:rsidP="006B53AD">
      <w:pPr>
        <w:pStyle w:val="BodyText2"/>
        <w:tabs>
          <w:tab w:val="left" w:pos="-720"/>
        </w:tabs>
        <w:suppressAutoHyphens/>
        <w:ind w:left="-380"/>
        <w:jc w:val="both"/>
        <w:rPr>
          <w:rFonts w:ascii="Book Antiqua" w:hAnsi="Book Antiqua" w:cstheme="minorHAnsi"/>
          <w:color w:val="000000" w:themeColor="text1"/>
          <w:sz w:val="20"/>
          <w:lang w:val="en-GB"/>
        </w:rPr>
      </w:pPr>
      <w:r w:rsidRPr="006B53AD">
        <w:rPr>
          <w:rStyle w:val="FootnoteReference"/>
          <w:rFonts w:ascii="Book Antiqua" w:hAnsi="Book Antiqua" w:cstheme="minorHAnsi"/>
          <w:color w:val="000000" w:themeColor="text1"/>
          <w:sz w:val="20"/>
        </w:rPr>
        <w:footnoteRef/>
      </w:r>
      <w:r w:rsidRPr="006B53AD">
        <w:rPr>
          <w:rFonts w:ascii="Book Antiqua" w:hAnsi="Book Antiqua" w:cstheme="minorHAnsi"/>
          <w:color w:val="000000" w:themeColor="text1"/>
          <w:sz w:val="20"/>
        </w:rPr>
        <w:t xml:space="preserve"> e.g. </w:t>
      </w:r>
      <w:r w:rsidRPr="00457E40">
        <w:rPr>
          <w:rFonts w:ascii="Book Antiqua" w:hAnsi="Book Antiqua" w:cstheme="minorHAnsi"/>
          <w:i/>
          <w:iCs/>
          <w:color w:val="000000" w:themeColor="text1"/>
          <w:sz w:val="20"/>
        </w:rPr>
        <w:t>Opuz v Turkey</w:t>
      </w:r>
      <w:r w:rsidRPr="006B53AD">
        <w:rPr>
          <w:rFonts w:ascii="Book Antiqua" w:hAnsi="Book Antiqua" w:cstheme="minorHAnsi"/>
          <w:color w:val="000000" w:themeColor="text1"/>
          <w:sz w:val="20"/>
        </w:rPr>
        <w:t xml:space="preserve"> (2010) 50 E.H.R.R. 28 at paras 185–191; </w:t>
      </w:r>
      <w:r w:rsidRPr="00457E40">
        <w:rPr>
          <w:rFonts w:ascii="Book Antiqua" w:hAnsi="Book Antiqua" w:cstheme="minorHAnsi"/>
          <w:i/>
          <w:iCs/>
          <w:color w:val="000000" w:themeColor="text1"/>
          <w:sz w:val="20"/>
        </w:rPr>
        <w:t>Volodina v Russia</w:t>
      </w:r>
      <w:r w:rsidRPr="006B53AD">
        <w:rPr>
          <w:rFonts w:ascii="Book Antiqua" w:hAnsi="Book Antiqua" w:cstheme="minorHAnsi"/>
          <w:color w:val="000000" w:themeColor="text1"/>
          <w:sz w:val="20"/>
        </w:rPr>
        <w:t xml:space="preserve"> (App. No.41261/17) at para 110. </w:t>
      </w:r>
    </w:p>
  </w:footnote>
  <w:footnote w:id="11">
    <w:p w14:paraId="3B3658E1" w14:textId="17253EBA" w:rsidR="007175B1" w:rsidRPr="006B53AD" w:rsidRDefault="007175B1" w:rsidP="006B53AD">
      <w:pPr>
        <w:pStyle w:val="FootnoteText"/>
        <w:jc w:val="both"/>
        <w:rPr>
          <w:rFonts w:ascii="Book Antiqua" w:hAnsi="Book Antiqua"/>
          <w:color w:val="000000" w:themeColor="text1"/>
          <w:lang w:val="en-GB"/>
        </w:rPr>
      </w:pPr>
      <w:r w:rsidRPr="006B53AD">
        <w:rPr>
          <w:rStyle w:val="FootnoteReference"/>
          <w:rFonts w:ascii="Book Antiqua" w:hAnsi="Book Antiqua" w:cstheme="minorHAnsi"/>
          <w:color w:val="000000" w:themeColor="text1"/>
        </w:rPr>
        <w:footnoteRef/>
      </w:r>
      <w:r w:rsidRPr="006B53AD">
        <w:rPr>
          <w:rFonts w:ascii="Book Antiqua" w:hAnsi="Book Antiqua" w:cstheme="minorHAnsi"/>
          <w:color w:val="000000" w:themeColor="text1"/>
        </w:rPr>
        <w:t xml:space="preserve"> </w:t>
      </w:r>
      <w:r w:rsidRPr="006B53AD">
        <w:rPr>
          <w:rFonts w:ascii="Book Antiqua" w:hAnsi="Book Antiqua" w:cstheme="minorHAnsi"/>
          <w:color w:val="000000" w:themeColor="text1"/>
          <w:lang w:val="en-GB"/>
        </w:rPr>
        <w:t xml:space="preserve">Inter-American Commission on Human Rights, Report No. 33/16, Case No. 12,797, </w:t>
      </w:r>
      <w:r w:rsidRPr="00457E40">
        <w:rPr>
          <w:rFonts w:ascii="Book Antiqua" w:hAnsi="Book Antiqua" w:cstheme="minorHAnsi"/>
          <w:i/>
          <w:iCs/>
          <w:color w:val="000000" w:themeColor="text1"/>
        </w:rPr>
        <w:t>Linda Loaiza López Soto and Relatives v Venezuela</w:t>
      </w:r>
      <w:r w:rsidRPr="006B53AD">
        <w:rPr>
          <w:rFonts w:ascii="Book Antiqua" w:hAnsi="Book Antiqua" w:cstheme="minorHAnsi"/>
          <w:color w:val="000000" w:themeColor="text1"/>
        </w:rPr>
        <w:t>, OEA/Ser.L/V/II. Doc. 38 July 29, 2016, para. 175.</w:t>
      </w:r>
      <w:r w:rsidRPr="006B53AD">
        <w:rPr>
          <w:rFonts w:ascii="Book Antiqua" w:hAnsi="Book Antiqua"/>
          <w:color w:val="000000" w:themeColor="text1"/>
        </w:rPr>
        <w:t xml:space="preserve"> </w:t>
      </w:r>
    </w:p>
  </w:footnote>
  <w:footnote w:id="12">
    <w:p w14:paraId="2C5D5BBD" w14:textId="77777777" w:rsidR="007175B1" w:rsidRPr="006B53AD" w:rsidRDefault="007175B1" w:rsidP="006B53AD">
      <w:pPr>
        <w:pStyle w:val="FootnoteText"/>
        <w:jc w:val="both"/>
        <w:rPr>
          <w:rFonts w:ascii="Book Antiqua" w:hAnsi="Book Antiqua"/>
          <w:color w:val="000000" w:themeColor="text1"/>
          <w:lang w:val="en-GB"/>
        </w:rPr>
      </w:pPr>
      <w:r w:rsidRPr="006B53AD">
        <w:rPr>
          <w:rStyle w:val="FootnoteReference"/>
          <w:rFonts w:ascii="Book Antiqua" w:hAnsi="Book Antiqua"/>
          <w:color w:val="000000" w:themeColor="text1"/>
        </w:rPr>
        <w:footnoteRef/>
      </w:r>
      <w:r w:rsidRPr="006B53AD">
        <w:rPr>
          <w:rFonts w:ascii="Book Antiqua" w:hAnsi="Book Antiqua"/>
          <w:color w:val="000000" w:themeColor="text1"/>
        </w:rPr>
        <w:t xml:space="preserve"> </w:t>
      </w:r>
      <w:r w:rsidRPr="006B53AD">
        <w:rPr>
          <w:rFonts w:ascii="Book Antiqua" w:hAnsi="Book Antiqua" w:cs="Arial"/>
          <w:color w:val="000000" w:themeColor="text1"/>
          <w:shd w:val="clear" w:color="auto" w:fill="FFFFFF"/>
        </w:rPr>
        <w:t xml:space="preserve">Inter-American Court of Human Rights, Advisory Opinion OC-18/03 of 17 September 2003, Juridical Condition and Rights of Undocumented Migrants, para. 101. </w:t>
      </w:r>
    </w:p>
  </w:footnote>
  <w:footnote w:id="13">
    <w:p w14:paraId="0893F9E9" w14:textId="40982B56" w:rsidR="007175B1" w:rsidRPr="006B53AD" w:rsidRDefault="007175B1" w:rsidP="006B53AD">
      <w:pPr>
        <w:pStyle w:val="FootnoteText"/>
        <w:jc w:val="both"/>
        <w:rPr>
          <w:rFonts w:ascii="Book Antiqua" w:hAnsi="Book Antiqua"/>
          <w:color w:val="000000" w:themeColor="text1"/>
          <w:lang w:val="en-GB"/>
        </w:rPr>
      </w:pPr>
      <w:r w:rsidRPr="006B53AD">
        <w:rPr>
          <w:rStyle w:val="FootnoteReference"/>
          <w:rFonts w:ascii="Book Antiqua" w:hAnsi="Book Antiqua"/>
          <w:color w:val="000000" w:themeColor="text1"/>
        </w:rPr>
        <w:footnoteRef/>
      </w:r>
      <w:r w:rsidRPr="006B53AD">
        <w:rPr>
          <w:rFonts w:ascii="Book Antiqua" w:hAnsi="Book Antiqua"/>
          <w:color w:val="000000" w:themeColor="text1"/>
        </w:rPr>
        <w:t xml:space="preserve"> </w:t>
      </w:r>
      <w:r w:rsidRPr="006B53AD">
        <w:rPr>
          <w:rFonts w:ascii="Book Antiqua" w:hAnsi="Book Antiqua"/>
          <w:color w:val="000000" w:themeColor="text1"/>
          <w:lang w:val="en-GB"/>
        </w:rPr>
        <w:t xml:space="preserve">Vienna Convention on the Law of Treaties, 1969, Article 53. </w:t>
      </w:r>
    </w:p>
  </w:footnote>
  <w:footnote w:id="14">
    <w:p w14:paraId="1BA7F96A" w14:textId="707A76C2" w:rsidR="007175B1" w:rsidRPr="006B53AD" w:rsidRDefault="007175B1" w:rsidP="006B53AD">
      <w:pPr>
        <w:pStyle w:val="FootnoteText"/>
        <w:jc w:val="both"/>
        <w:rPr>
          <w:rFonts w:ascii="Book Antiqua" w:hAnsi="Book Antiqua"/>
          <w:color w:val="000000" w:themeColor="text1"/>
          <w:lang w:val="en-GB"/>
        </w:rPr>
      </w:pPr>
      <w:r w:rsidRPr="006B53AD">
        <w:rPr>
          <w:rStyle w:val="FootnoteReference"/>
          <w:rFonts w:ascii="Book Antiqua" w:hAnsi="Book Antiqua"/>
          <w:color w:val="000000" w:themeColor="text1"/>
        </w:rPr>
        <w:footnoteRef/>
      </w:r>
      <w:r w:rsidRPr="006B53AD">
        <w:rPr>
          <w:rFonts w:ascii="Book Antiqua" w:hAnsi="Book Antiqua"/>
          <w:color w:val="000000" w:themeColor="text1"/>
        </w:rPr>
        <w:t xml:space="preserve"> </w:t>
      </w:r>
      <w:r w:rsidRPr="006B53AD">
        <w:rPr>
          <w:rFonts w:ascii="Book Antiqua" w:hAnsi="Book Antiqua"/>
          <w:color w:val="000000" w:themeColor="text1"/>
          <w:lang w:val="en-GB"/>
        </w:rPr>
        <w:t xml:space="preserve">Human Rights Council Resolution 15/23, 2010. </w:t>
      </w:r>
    </w:p>
  </w:footnote>
  <w:footnote w:id="15">
    <w:p w14:paraId="239157D4" w14:textId="417928C0" w:rsidR="007175B1" w:rsidRPr="006B53AD" w:rsidRDefault="007175B1" w:rsidP="006B53AD">
      <w:pPr>
        <w:pStyle w:val="FootnoteText"/>
        <w:jc w:val="both"/>
        <w:rPr>
          <w:rFonts w:ascii="Book Antiqua" w:hAnsi="Book Antiqua"/>
          <w:color w:val="000000" w:themeColor="text1"/>
          <w:lang w:val="en-GB"/>
        </w:rPr>
      </w:pPr>
      <w:r w:rsidRPr="006B53AD">
        <w:rPr>
          <w:rStyle w:val="FootnoteReference"/>
          <w:rFonts w:ascii="Book Antiqua" w:hAnsi="Book Antiqua"/>
          <w:color w:val="000000" w:themeColor="text1"/>
        </w:rPr>
        <w:footnoteRef/>
      </w:r>
      <w:r w:rsidRPr="006B53AD">
        <w:rPr>
          <w:rFonts w:ascii="Book Antiqua" w:hAnsi="Book Antiqua"/>
          <w:color w:val="000000" w:themeColor="text1"/>
        </w:rPr>
        <w:t xml:space="preserve"> </w:t>
      </w:r>
      <w:r w:rsidRPr="006B53AD">
        <w:rPr>
          <w:rFonts w:ascii="Book Antiqua" w:hAnsi="Book Antiqua"/>
          <w:color w:val="000000" w:themeColor="text1"/>
          <w:lang w:val="en-GB"/>
        </w:rPr>
        <w:t>UN Security Council Resolution 2122, 2013; see also UN Security Council Resolution 2467, 2019. Both Resolutions are adopted within the Security Council’s agenda on Women Peace and Security that commenced with Resolution 1325, 2000..</w:t>
      </w:r>
    </w:p>
  </w:footnote>
  <w:footnote w:id="16">
    <w:p w14:paraId="253B77C8" w14:textId="1A3E3AD2" w:rsidR="007175B1" w:rsidRPr="006B53AD" w:rsidRDefault="007175B1" w:rsidP="006B53AD">
      <w:pPr>
        <w:pStyle w:val="FootnoteText"/>
        <w:jc w:val="both"/>
        <w:rPr>
          <w:rFonts w:ascii="Book Antiqua" w:hAnsi="Book Antiqua"/>
          <w:color w:val="000000" w:themeColor="text1"/>
          <w:lang w:val="en-GB"/>
        </w:rPr>
      </w:pPr>
      <w:r w:rsidRPr="006B53AD">
        <w:rPr>
          <w:rStyle w:val="FootnoteReference"/>
          <w:rFonts w:ascii="Book Antiqua" w:hAnsi="Book Antiqua"/>
          <w:color w:val="000000" w:themeColor="text1"/>
        </w:rPr>
        <w:footnoteRef/>
      </w:r>
      <w:r w:rsidRPr="006B53AD">
        <w:rPr>
          <w:rFonts w:ascii="Book Antiqua" w:hAnsi="Book Antiqua"/>
          <w:color w:val="000000" w:themeColor="text1"/>
        </w:rPr>
        <w:t xml:space="preserve"> </w:t>
      </w:r>
      <w:r w:rsidRPr="006B53AD">
        <w:rPr>
          <w:rFonts w:ascii="Book Antiqua" w:hAnsi="Book Antiqua" w:cstheme="minorHAnsi"/>
          <w:color w:val="000000" w:themeColor="text1"/>
        </w:rPr>
        <w:t xml:space="preserve">UN General Assembly resolution 70/1, 25 September 2015, </w:t>
      </w:r>
      <w:r w:rsidRPr="006B53AD">
        <w:rPr>
          <w:rFonts w:ascii="Book Antiqua" w:hAnsi="Book Antiqua" w:cstheme="minorHAnsi"/>
          <w:i/>
          <w:iCs/>
          <w:color w:val="000000" w:themeColor="text1"/>
        </w:rPr>
        <w:t xml:space="preserve">Transforming our world: the 2030 Agenda for Sustainable Development. </w:t>
      </w:r>
    </w:p>
  </w:footnote>
  <w:footnote w:id="17">
    <w:p w14:paraId="5814CA5D" w14:textId="77777777" w:rsidR="007175B1" w:rsidRPr="006B53AD" w:rsidRDefault="007175B1" w:rsidP="006B53AD">
      <w:pPr>
        <w:pStyle w:val="FootnoteText"/>
        <w:jc w:val="both"/>
        <w:rPr>
          <w:rFonts w:ascii="Book Antiqua" w:hAnsi="Book Antiqua"/>
          <w:color w:val="000000" w:themeColor="text1"/>
          <w:lang w:val="en-GB"/>
        </w:rPr>
      </w:pPr>
      <w:r w:rsidRPr="006B53AD">
        <w:rPr>
          <w:rStyle w:val="FootnoteReference"/>
          <w:rFonts w:ascii="Book Antiqua" w:hAnsi="Book Antiqua"/>
          <w:color w:val="000000" w:themeColor="text1"/>
        </w:rPr>
        <w:footnoteRef/>
      </w:r>
      <w:r w:rsidRPr="006B53AD">
        <w:rPr>
          <w:rFonts w:ascii="Book Antiqua" w:hAnsi="Book Antiqua"/>
          <w:color w:val="000000" w:themeColor="text1"/>
        </w:rPr>
        <w:t xml:space="preserve"> </w:t>
      </w:r>
      <w:r w:rsidRPr="006B53AD">
        <w:rPr>
          <w:rFonts w:ascii="Book Antiqua" w:hAnsi="Book Antiqua"/>
          <w:i/>
          <w:iCs/>
          <w:color w:val="000000" w:themeColor="text1"/>
          <w:lang w:val="en-GB"/>
        </w:rPr>
        <w:t xml:space="preserve">Legality of the Threat or Use of Nuclear Weapons </w:t>
      </w:r>
      <w:r w:rsidRPr="006B53AD">
        <w:rPr>
          <w:rFonts w:ascii="Book Antiqua" w:hAnsi="Book Antiqua"/>
          <w:color w:val="000000" w:themeColor="text1"/>
          <w:lang w:val="en-GB"/>
        </w:rPr>
        <w:t xml:space="preserve">(Advisory Opinion) 1996 ICJ Reports para 79. </w:t>
      </w:r>
    </w:p>
  </w:footnote>
  <w:footnote w:id="18">
    <w:p w14:paraId="7A6A5D1B" w14:textId="77777777" w:rsidR="007175B1" w:rsidRPr="006B53AD" w:rsidRDefault="007175B1" w:rsidP="006B53AD">
      <w:pPr>
        <w:pStyle w:val="FootnoteText"/>
        <w:jc w:val="both"/>
        <w:rPr>
          <w:rFonts w:ascii="Book Antiqua" w:hAnsi="Book Antiqua" w:cstheme="minorHAnsi"/>
          <w:color w:val="000000" w:themeColor="text1"/>
          <w:lang w:val="en-GB"/>
        </w:rPr>
      </w:pPr>
      <w:r w:rsidRPr="006B53AD">
        <w:rPr>
          <w:rStyle w:val="FootnoteReference"/>
          <w:rFonts w:ascii="Book Antiqua" w:hAnsi="Book Antiqua" w:cstheme="minorHAnsi"/>
          <w:color w:val="000000" w:themeColor="text1"/>
        </w:rPr>
        <w:footnoteRef/>
      </w:r>
      <w:r w:rsidRPr="006B53AD">
        <w:rPr>
          <w:rFonts w:ascii="Book Antiqua" w:hAnsi="Book Antiqua" w:cstheme="minorHAnsi"/>
          <w:color w:val="000000" w:themeColor="text1"/>
        </w:rPr>
        <w:t xml:space="preserve"> </w:t>
      </w:r>
      <w:r w:rsidRPr="006B53AD">
        <w:rPr>
          <w:rFonts w:ascii="Book Antiqua" w:hAnsi="Book Antiqua" w:cstheme="minorHAnsi"/>
          <w:color w:val="000000" w:themeColor="text1"/>
          <w:shd w:val="clear" w:color="auto" w:fill="FFFFFF"/>
        </w:rPr>
        <w:t>General Orders No. 100: The Lieber Code, 24 April 1863</w:t>
      </w:r>
      <w:r w:rsidRPr="006B53AD">
        <w:rPr>
          <w:rFonts w:ascii="Book Antiqua" w:hAnsi="Book Antiqua" w:cstheme="minorHAnsi"/>
          <w:b/>
          <w:bCs/>
          <w:color w:val="000000" w:themeColor="text1"/>
          <w:shd w:val="clear" w:color="auto" w:fill="FFFFFF"/>
        </w:rPr>
        <w:t xml:space="preserve">, </w:t>
      </w:r>
      <w:r w:rsidRPr="006B53AD">
        <w:rPr>
          <w:rFonts w:ascii="Book Antiqua" w:hAnsi="Book Antiqua" w:cstheme="minorHAnsi"/>
          <w:color w:val="000000" w:themeColor="text1"/>
        </w:rPr>
        <w:t xml:space="preserve">articles 37 and 44.  </w:t>
      </w:r>
      <w:r w:rsidRPr="006B53AD">
        <w:rPr>
          <w:rFonts w:ascii="Book Antiqua" w:hAnsi="Book Antiqua" w:cstheme="minorHAnsi"/>
          <w:b/>
          <w:bCs/>
          <w:color w:val="000000" w:themeColor="text1"/>
          <w:shd w:val="clear" w:color="auto" w:fill="FFFFFF"/>
        </w:rPr>
        <w:t xml:space="preserve"> </w:t>
      </w:r>
    </w:p>
  </w:footnote>
  <w:footnote w:id="19">
    <w:p w14:paraId="03E0A2C3" w14:textId="77777777" w:rsidR="007175B1" w:rsidRPr="006B53AD" w:rsidRDefault="007175B1" w:rsidP="006B53AD">
      <w:pPr>
        <w:pStyle w:val="FootnoteText"/>
        <w:jc w:val="both"/>
        <w:rPr>
          <w:rFonts w:ascii="Book Antiqua" w:hAnsi="Book Antiqua" w:cstheme="minorHAnsi"/>
          <w:color w:val="000000" w:themeColor="text1"/>
          <w:lang w:val="en-GB"/>
        </w:rPr>
      </w:pPr>
      <w:r w:rsidRPr="006B53AD">
        <w:rPr>
          <w:rStyle w:val="FootnoteReference"/>
          <w:rFonts w:ascii="Book Antiqua" w:hAnsi="Book Antiqua" w:cstheme="minorHAnsi"/>
          <w:color w:val="000000" w:themeColor="text1"/>
        </w:rPr>
        <w:footnoteRef/>
      </w:r>
      <w:r w:rsidRPr="006B53AD">
        <w:rPr>
          <w:rFonts w:ascii="Book Antiqua" w:hAnsi="Book Antiqua" w:cstheme="minorHAnsi"/>
          <w:color w:val="000000" w:themeColor="text1"/>
        </w:rPr>
        <w:t xml:space="preserve"> Laws and Customs of War on Land (Hague IV), The Hague, 18 October 1907, article 46. </w:t>
      </w:r>
    </w:p>
  </w:footnote>
  <w:footnote w:id="20">
    <w:p w14:paraId="5BD0B322" w14:textId="77777777" w:rsidR="007175B1" w:rsidRPr="006B53AD" w:rsidRDefault="007175B1" w:rsidP="006B53AD">
      <w:pPr>
        <w:pStyle w:val="FootnoteText"/>
        <w:jc w:val="both"/>
        <w:rPr>
          <w:rFonts w:ascii="Book Antiqua" w:hAnsi="Book Antiqua" w:cstheme="minorHAnsi"/>
          <w:color w:val="000000" w:themeColor="text1"/>
          <w:lang w:val="en-GB"/>
        </w:rPr>
      </w:pPr>
      <w:r w:rsidRPr="006B53AD">
        <w:rPr>
          <w:rStyle w:val="FootnoteReference"/>
          <w:rFonts w:ascii="Book Antiqua" w:hAnsi="Book Antiqua" w:cstheme="minorHAnsi"/>
          <w:color w:val="000000" w:themeColor="text1"/>
        </w:rPr>
        <w:footnoteRef/>
      </w:r>
      <w:r w:rsidRPr="006B53AD">
        <w:rPr>
          <w:rFonts w:ascii="Book Antiqua" w:hAnsi="Book Antiqua" w:cstheme="minorHAnsi"/>
          <w:color w:val="000000" w:themeColor="text1"/>
        </w:rPr>
        <w:t xml:space="preserve"> </w:t>
      </w:r>
      <w:r w:rsidRPr="006B53AD">
        <w:rPr>
          <w:rFonts w:ascii="Book Antiqua" w:hAnsi="Book Antiqua" w:cstheme="minorHAnsi"/>
          <w:color w:val="000000" w:themeColor="text1"/>
          <w:lang w:val="en-GB"/>
        </w:rPr>
        <w:t xml:space="preserve">Convention Relative to the Protection of Civilian Persons, Geneva, 12 August 1949. </w:t>
      </w:r>
    </w:p>
  </w:footnote>
  <w:footnote w:id="21">
    <w:p w14:paraId="70750434" w14:textId="77777777" w:rsidR="007175B1" w:rsidRPr="006B53AD" w:rsidRDefault="007175B1" w:rsidP="006B53AD">
      <w:pPr>
        <w:pStyle w:val="FootnoteText"/>
        <w:jc w:val="both"/>
        <w:rPr>
          <w:rFonts w:ascii="Book Antiqua" w:hAnsi="Book Antiqua" w:cstheme="minorHAnsi"/>
          <w:color w:val="000000" w:themeColor="text1"/>
          <w:lang w:val="en-GB"/>
        </w:rPr>
      </w:pPr>
      <w:r w:rsidRPr="006B53AD">
        <w:rPr>
          <w:rStyle w:val="FootnoteReference"/>
          <w:rFonts w:ascii="Book Antiqua" w:hAnsi="Book Antiqua" w:cstheme="minorHAnsi"/>
          <w:color w:val="000000" w:themeColor="text1"/>
        </w:rPr>
        <w:footnoteRef/>
      </w:r>
      <w:r w:rsidRPr="006B53AD">
        <w:rPr>
          <w:rFonts w:ascii="Book Antiqua" w:hAnsi="Book Antiqua" w:cstheme="minorHAnsi"/>
          <w:color w:val="000000" w:themeColor="text1"/>
        </w:rPr>
        <w:t xml:space="preserve"> Protocol Additional to the Geneva Conventions of 12 August 1949 and relating to the Protection of Victims of International Armed Conflicts, Geneva, 8 June 1977, article 76 (Additional Protocol I). </w:t>
      </w:r>
    </w:p>
  </w:footnote>
  <w:footnote w:id="22">
    <w:p w14:paraId="542F2B76" w14:textId="77777777" w:rsidR="007175B1" w:rsidRPr="006B53AD" w:rsidRDefault="007175B1" w:rsidP="006B53AD">
      <w:pPr>
        <w:pStyle w:val="FootnoteText"/>
        <w:jc w:val="both"/>
        <w:rPr>
          <w:rFonts w:ascii="Book Antiqua" w:hAnsi="Book Antiqua" w:cstheme="minorHAnsi"/>
          <w:color w:val="000000" w:themeColor="text1"/>
          <w:lang w:val="en-GB"/>
        </w:rPr>
      </w:pPr>
      <w:r w:rsidRPr="006B53AD">
        <w:rPr>
          <w:rStyle w:val="FootnoteReference"/>
          <w:rFonts w:ascii="Book Antiqua" w:hAnsi="Book Antiqua" w:cstheme="minorHAnsi"/>
          <w:color w:val="000000" w:themeColor="text1"/>
        </w:rPr>
        <w:footnoteRef/>
      </w:r>
      <w:r w:rsidRPr="006B53AD">
        <w:rPr>
          <w:rFonts w:ascii="Book Antiqua" w:hAnsi="Book Antiqua" w:cstheme="minorHAnsi"/>
          <w:color w:val="000000" w:themeColor="text1"/>
        </w:rPr>
        <w:t xml:space="preserve"> </w:t>
      </w:r>
      <w:r w:rsidRPr="006B53AD">
        <w:rPr>
          <w:rFonts w:ascii="Book Antiqua" w:hAnsi="Book Antiqua" w:cstheme="minorHAnsi"/>
          <w:color w:val="000000" w:themeColor="text1"/>
          <w:lang w:val="en-GB"/>
        </w:rPr>
        <w:t>Convention Relative to the Protection of Civilian Persons, Geneva, 12 August 1949, article 3;</w:t>
      </w:r>
      <w:r w:rsidRPr="006B53AD">
        <w:rPr>
          <w:rFonts w:ascii="Book Antiqua" w:hAnsi="Book Antiqua" w:cstheme="minorHAnsi"/>
          <w:color w:val="000000" w:themeColor="text1"/>
        </w:rPr>
        <w:t xml:space="preserve"> Protocol Additional to the Geneva Conventions of 12 August 1949 and relating to the Protection of Victims of Non-International Armed Conflicts (Additional Protocol II), Geneva, 8 June 1977, article 4 (2) (e). </w:t>
      </w:r>
    </w:p>
  </w:footnote>
  <w:footnote w:id="23">
    <w:p w14:paraId="24915241" w14:textId="053F731A" w:rsidR="007175B1" w:rsidRPr="006B53AD" w:rsidRDefault="007175B1" w:rsidP="006B53AD">
      <w:pPr>
        <w:pStyle w:val="FootnoteText"/>
        <w:jc w:val="both"/>
        <w:rPr>
          <w:rFonts w:ascii="Book Antiqua" w:hAnsi="Book Antiqua"/>
          <w:color w:val="000000" w:themeColor="text1"/>
          <w:lang w:val="en-GB"/>
        </w:rPr>
      </w:pPr>
      <w:r w:rsidRPr="006B53AD">
        <w:rPr>
          <w:rStyle w:val="FootnoteReference"/>
          <w:rFonts w:ascii="Book Antiqua" w:hAnsi="Book Antiqua"/>
          <w:color w:val="000000" w:themeColor="text1"/>
        </w:rPr>
        <w:footnoteRef/>
      </w:r>
      <w:r w:rsidRPr="006B53AD">
        <w:rPr>
          <w:rFonts w:ascii="Book Antiqua" w:hAnsi="Book Antiqua"/>
          <w:color w:val="000000" w:themeColor="text1"/>
        </w:rPr>
        <w:t xml:space="preserve"> The Inter-American Convention on the Prevention, Punishment, and Eradication of Violence against Women (Convention of Belém do Pará), 1994, Article 1 defines violence against women ‘as any act or conduct, based on gender’; Protocol to the African Charter on Human and Peoples’ Rights on the Rights of Women in Africa, 2003 (Maputo Protocol), Article 1 states that violence against women ‘means all acts perpetrated against women’; The Convention on Preventing and Combating Violence against Women and Domestic Violence, 2011 (Istanbul Convention) Article 3 defines </w:t>
      </w:r>
      <w:r w:rsidRPr="006B53AD">
        <w:rPr>
          <w:rFonts w:ascii="Book Antiqua" w:hAnsi="Book Antiqua" w:cs="Arial"/>
          <w:color w:val="000000" w:themeColor="text1"/>
          <w:shd w:val="clear" w:color="auto" w:fill="FFFFFF"/>
        </w:rPr>
        <w:t>“violence against women”  as a “violation of human rights and a form of discrimination against women” and “g</w:t>
      </w:r>
      <w:r w:rsidRPr="006B53AD">
        <w:rPr>
          <w:rFonts w:ascii="Book Antiqua" w:hAnsi="Book Antiqua"/>
          <w:color w:val="000000" w:themeColor="text1"/>
        </w:rPr>
        <w:t>ender-based violence’ as “violence that is directed against a woman because she is a woman or that affects women disproportionately.’</w:t>
      </w:r>
    </w:p>
  </w:footnote>
  <w:footnote w:id="24">
    <w:p w14:paraId="49307D4A" w14:textId="7BBBD74C" w:rsidR="007175B1" w:rsidRPr="006B53AD" w:rsidRDefault="007175B1" w:rsidP="006B53AD">
      <w:pPr>
        <w:pStyle w:val="FootnoteText"/>
        <w:jc w:val="both"/>
        <w:rPr>
          <w:rFonts w:ascii="Book Antiqua" w:hAnsi="Book Antiqua"/>
          <w:color w:val="000000" w:themeColor="text1"/>
          <w:lang w:val="en-GB"/>
        </w:rPr>
      </w:pPr>
      <w:r w:rsidRPr="006B53AD">
        <w:rPr>
          <w:rStyle w:val="FootnoteReference"/>
          <w:rFonts w:ascii="Book Antiqua" w:hAnsi="Book Antiqua"/>
          <w:color w:val="000000" w:themeColor="text1"/>
        </w:rPr>
        <w:footnoteRef/>
      </w:r>
      <w:r w:rsidRPr="006B53AD">
        <w:rPr>
          <w:rFonts w:ascii="Book Antiqua" w:hAnsi="Book Antiqua"/>
          <w:color w:val="000000" w:themeColor="text1"/>
        </w:rPr>
        <w:t xml:space="preserve"> Committee on the Elimination of Discrimination against Women, General Recommendation No. 35 on Gender-Based Violence against Women, Updating General Recommendation No. 19, CEDAW/C/GC/35, 2017. </w:t>
      </w:r>
    </w:p>
  </w:footnote>
  <w:footnote w:id="25">
    <w:p w14:paraId="60306630" w14:textId="3F553D88" w:rsidR="007175B1" w:rsidRPr="006B53AD" w:rsidRDefault="007175B1" w:rsidP="006B53AD">
      <w:pPr>
        <w:pStyle w:val="FootnoteText"/>
        <w:jc w:val="both"/>
        <w:rPr>
          <w:rFonts w:ascii="Book Antiqua" w:hAnsi="Book Antiqua"/>
          <w:color w:val="000000" w:themeColor="text1"/>
          <w:lang w:val="en-GB"/>
        </w:rPr>
      </w:pPr>
      <w:r w:rsidRPr="006B53AD">
        <w:rPr>
          <w:rStyle w:val="FootnoteReference"/>
          <w:rFonts w:ascii="Book Antiqua" w:hAnsi="Book Antiqua"/>
          <w:color w:val="000000" w:themeColor="text1"/>
        </w:rPr>
        <w:footnoteRef/>
      </w:r>
      <w:r w:rsidRPr="006B53AD">
        <w:rPr>
          <w:rFonts w:ascii="Book Antiqua" w:hAnsi="Book Antiqua"/>
          <w:color w:val="000000" w:themeColor="text1"/>
        </w:rPr>
        <w:t xml:space="preserve"> </w:t>
      </w:r>
      <w:r w:rsidRPr="006B53AD">
        <w:rPr>
          <w:rFonts w:ascii="Book Antiqua" w:hAnsi="Book Antiqua"/>
          <w:i/>
          <w:iCs/>
          <w:color w:val="000000" w:themeColor="text1"/>
          <w:lang w:val="en-GB"/>
        </w:rPr>
        <w:t xml:space="preserve">Ibid., </w:t>
      </w:r>
      <w:r w:rsidRPr="006B53AD">
        <w:rPr>
          <w:rFonts w:ascii="Book Antiqua" w:hAnsi="Book Antiqua"/>
          <w:color w:val="000000" w:themeColor="text1"/>
          <w:lang w:val="en-GB"/>
        </w:rPr>
        <w:t xml:space="preserve">at para 2 and the numerous citations at footnote 3. </w:t>
      </w:r>
    </w:p>
  </w:footnote>
  <w:footnote w:id="26">
    <w:p w14:paraId="6129EF3D" w14:textId="3D458C9C" w:rsidR="007175B1" w:rsidRPr="00317A2D" w:rsidRDefault="007175B1">
      <w:pPr>
        <w:pStyle w:val="FootnoteText"/>
        <w:rPr>
          <w:lang w:val="en-GB"/>
        </w:rPr>
      </w:pPr>
      <w:r>
        <w:rPr>
          <w:rStyle w:val="FootnoteReference"/>
        </w:rPr>
        <w:footnoteRef/>
      </w:r>
      <w:r>
        <w:t xml:space="preserve"> </w:t>
      </w:r>
      <w:r w:rsidRPr="006B53AD">
        <w:rPr>
          <w:rFonts w:ascii="Book Antiqua" w:hAnsi="Book Antiqua"/>
          <w:color w:val="000000" w:themeColor="text1"/>
        </w:rPr>
        <w:t>Committee on the Elimination of Discrimination against Women, General Recommendation</w:t>
      </w:r>
      <w:r>
        <w:rPr>
          <w:rFonts w:ascii="Book Antiqua" w:hAnsi="Book Antiqua"/>
          <w:color w:val="000000" w:themeColor="text1"/>
        </w:rPr>
        <w:t xml:space="preserve">, General Recommendation No. 19, violence against women, UN Doc A/47/38. </w:t>
      </w:r>
    </w:p>
  </w:footnote>
  <w:footnote w:id="27">
    <w:p w14:paraId="657D133B" w14:textId="77777777" w:rsidR="007175B1" w:rsidRPr="006B53AD" w:rsidRDefault="007175B1" w:rsidP="006B53AD">
      <w:pPr>
        <w:pStyle w:val="Heading2"/>
        <w:shd w:val="clear" w:color="auto" w:fill="FFFFFF"/>
        <w:spacing w:before="0"/>
        <w:ind w:left="-380"/>
        <w:jc w:val="both"/>
        <w:rPr>
          <w:rFonts w:ascii="Book Antiqua" w:hAnsi="Book Antiqua" w:cstheme="minorHAnsi"/>
          <w:color w:val="000000" w:themeColor="text1"/>
          <w:sz w:val="20"/>
          <w:szCs w:val="20"/>
        </w:rPr>
      </w:pPr>
      <w:r w:rsidRPr="006B53AD">
        <w:rPr>
          <w:rStyle w:val="FootnoteReference"/>
          <w:rFonts w:ascii="Book Antiqua" w:hAnsi="Book Antiqua" w:cstheme="minorHAnsi"/>
          <w:color w:val="000000" w:themeColor="text1"/>
          <w:sz w:val="20"/>
          <w:szCs w:val="20"/>
        </w:rPr>
        <w:footnoteRef/>
      </w:r>
      <w:r w:rsidRPr="006B53AD">
        <w:rPr>
          <w:rFonts w:ascii="Book Antiqua" w:hAnsi="Book Antiqua" w:cstheme="minorHAnsi"/>
          <w:color w:val="000000" w:themeColor="text1"/>
          <w:sz w:val="20"/>
          <w:szCs w:val="20"/>
        </w:rPr>
        <w:t xml:space="preserve"> World Conference on Human Rights, Vienna Declaration and Programme of Action, 25 June 1993, II,</w:t>
      </w:r>
      <w:r w:rsidRPr="006B53AD">
        <w:rPr>
          <w:rFonts w:ascii="Book Antiqua" w:hAnsi="Book Antiqua" w:cstheme="minorHAnsi"/>
          <w:b/>
          <w:bCs/>
          <w:color w:val="000000" w:themeColor="text1"/>
          <w:sz w:val="20"/>
          <w:szCs w:val="20"/>
        </w:rPr>
        <w:t xml:space="preserve"> </w:t>
      </w:r>
      <w:r w:rsidRPr="006B53AD">
        <w:rPr>
          <w:rFonts w:ascii="Book Antiqua" w:hAnsi="Book Antiqua" w:cstheme="minorHAnsi"/>
          <w:color w:val="000000" w:themeColor="text1"/>
          <w:sz w:val="20"/>
          <w:szCs w:val="20"/>
        </w:rPr>
        <w:t xml:space="preserve">para 38. </w:t>
      </w:r>
    </w:p>
  </w:footnote>
  <w:footnote w:id="28">
    <w:p w14:paraId="0A57B31A" w14:textId="77777777" w:rsidR="007175B1" w:rsidRPr="006B53AD" w:rsidRDefault="007175B1" w:rsidP="006B53AD">
      <w:pPr>
        <w:pStyle w:val="FootnoteText"/>
        <w:jc w:val="both"/>
        <w:rPr>
          <w:rFonts w:ascii="Book Antiqua" w:hAnsi="Book Antiqua" w:cstheme="minorHAnsi"/>
          <w:color w:val="000000" w:themeColor="text1"/>
        </w:rPr>
      </w:pPr>
      <w:r w:rsidRPr="006B53AD">
        <w:rPr>
          <w:rStyle w:val="FootnoteReference"/>
          <w:rFonts w:ascii="Book Antiqua" w:hAnsi="Book Antiqua" w:cstheme="minorHAnsi"/>
          <w:color w:val="000000" w:themeColor="text1"/>
        </w:rPr>
        <w:footnoteRef/>
      </w:r>
      <w:r w:rsidRPr="006B53AD">
        <w:rPr>
          <w:rFonts w:ascii="Book Antiqua" w:hAnsi="Book Antiqua" w:cstheme="minorHAnsi"/>
          <w:color w:val="000000" w:themeColor="text1"/>
        </w:rPr>
        <w:t xml:space="preserve"> </w:t>
      </w:r>
      <w:r w:rsidRPr="006B53AD">
        <w:rPr>
          <w:rFonts w:ascii="Book Antiqua" w:hAnsi="Book Antiqua" w:cstheme="minorHAnsi"/>
          <w:i/>
          <w:iCs/>
          <w:color w:val="000000" w:themeColor="text1"/>
        </w:rPr>
        <w:t xml:space="preserve">Ibid., </w:t>
      </w:r>
      <w:r w:rsidRPr="006B53AD">
        <w:rPr>
          <w:rFonts w:ascii="Book Antiqua" w:hAnsi="Book Antiqua" w:cstheme="minorHAnsi"/>
          <w:color w:val="000000" w:themeColor="text1"/>
        </w:rPr>
        <w:t xml:space="preserve">at para 114. </w:t>
      </w:r>
    </w:p>
  </w:footnote>
  <w:footnote w:id="29">
    <w:p w14:paraId="16C796D4" w14:textId="2B06E717" w:rsidR="007175B1" w:rsidRPr="006B53AD" w:rsidRDefault="007175B1" w:rsidP="006B53AD">
      <w:pPr>
        <w:pStyle w:val="FootnoteText"/>
        <w:jc w:val="both"/>
        <w:rPr>
          <w:rFonts w:ascii="Book Antiqua" w:hAnsi="Book Antiqua"/>
          <w:color w:val="000000" w:themeColor="text1"/>
          <w:lang w:val="en-GB"/>
        </w:rPr>
      </w:pPr>
      <w:r w:rsidRPr="006B53AD">
        <w:rPr>
          <w:rStyle w:val="FootnoteReference"/>
          <w:rFonts w:ascii="Book Antiqua" w:hAnsi="Book Antiqua"/>
          <w:color w:val="000000" w:themeColor="text1"/>
        </w:rPr>
        <w:footnoteRef/>
      </w:r>
      <w:r w:rsidRPr="006B53AD">
        <w:rPr>
          <w:rFonts w:ascii="Book Antiqua" w:hAnsi="Book Antiqua"/>
          <w:color w:val="000000" w:themeColor="text1"/>
        </w:rPr>
        <w:t xml:space="preserve"> </w:t>
      </w:r>
      <w:r w:rsidRPr="006B53AD">
        <w:rPr>
          <w:rFonts w:ascii="Book Antiqua" w:hAnsi="Book Antiqua"/>
          <w:i/>
          <w:iCs/>
          <w:color w:val="000000" w:themeColor="text1"/>
          <w:lang w:val="en-GB"/>
        </w:rPr>
        <w:t xml:space="preserve">Aydin v Turkey </w:t>
      </w:r>
      <w:r w:rsidRPr="006B53AD">
        <w:rPr>
          <w:rFonts w:ascii="Book Antiqua" w:hAnsi="Book Antiqua"/>
          <w:color w:val="000000" w:themeColor="text1"/>
          <w:lang w:val="en-GB"/>
        </w:rPr>
        <w:t xml:space="preserve">(Appl. No. </w:t>
      </w:r>
      <w:r w:rsidRPr="006B53AD">
        <w:rPr>
          <w:rFonts w:ascii="Book Antiqua" w:hAnsi="Book Antiqua" w:cs="Arial"/>
          <w:color w:val="000000" w:themeColor="text1"/>
          <w:shd w:val="clear" w:color="auto" w:fill="FFFFFF"/>
        </w:rPr>
        <w:t xml:space="preserve">(57/1996/676/866), judgment of 25 September 1997. </w:t>
      </w:r>
    </w:p>
  </w:footnote>
  <w:footnote w:id="30">
    <w:p w14:paraId="51D44D02" w14:textId="200E894E" w:rsidR="007175B1" w:rsidRPr="006B53AD" w:rsidRDefault="007175B1" w:rsidP="006B53AD">
      <w:pPr>
        <w:pStyle w:val="FootnoteText"/>
        <w:jc w:val="both"/>
        <w:rPr>
          <w:rFonts w:ascii="Book Antiqua" w:hAnsi="Book Antiqua"/>
          <w:color w:val="000000" w:themeColor="text1"/>
          <w:lang w:val="en-GB"/>
        </w:rPr>
      </w:pPr>
      <w:r w:rsidRPr="006B53AD">
        <w:rPr>
          <w:rStyle w:val="FootnoteReference"/>
          <w:rFonts w:ascii="Book Antiqua" w:hAnsi="Book Antiqua"/>
          <w:color w:val="000000" w:themeColor="text1"/>
        </w:rPr>
        <w:footnoteRef/>
      </w:r>
      <w:r w:rsidRPr="006B53AD">
        <w:rPr>
          <w:rFonts w:ascii="Book Antiqua" w:hAnsi="Book Antiqua"/>
          <w:color w:val="000000" w:themeColor="text1"/>
        </w:rPr>
        <w:t xml:space="preserve"> </w:t>
      </w:r>
      <w:r w:rsidRPr="006B53AD">
        <w:rPr>
          <w:rFonts w:ascii="Book Antiqua" w:hAnsi="Book Antiqua"/>
          <w:color w:val="000000" w:themeColor="text1"/>
          <w:lang w:val="en-GB"/>
        </w:rPr>
        <w:t xml:space="preserve">E.g. </w:t>
      </w:r>
      <w:r w:rsidRPr="006B53AD">
        <w:rPr>
          <w:rFonts w:ascii="Book Antiqua" w:hAnsi="Book Antiqua"/>
          <w:i/>
          <w:iCs/>
          <w:color w:val="000000" w:themeColor="text1"/>
        </w:rPr>
        <w:t>Miguel Castro-Castro Prison v. Peru</w:t>
      </w:r>
      <w:r w:rsidRPr="006B53AD">
        <w:rPr>
          <w:rFonts w:ascii="Book Antiqua" w:hAnsi="Book Antiqua"/>
          <w:color w:val="000000" w:themeColor="text1"/>
        </w:rPr>
        <w:t>. (Merits, Reparations and Costs) Judgment November 25, 2006. Series C No. 160;</w:t>
      </w:r>
      <w:r>
        <w:rPr>
          <w:rFonts w:ascii="Book Antiqua" w:hAnsi="Book Antiqua"/>
          <w:color w:val="000000" w:themeColor="text1"/>
        </w:rPr>
        <w:t xml:space="preserve"> </w:t>
      </w:r>
      <w:r w:rsidRPr="006B53AD">
        <w:rPr>
          <w:rFonts w:ascii="Book Antiqua" w:hAnsi="Book Antiqua"/>
          <w:i/>
          <w:iCs/>
          <w:color w:val="000000" w:themeColor="text1"/>
        </w:rPr>
        <w:t xml:space="preserve">Rosendo Cantu v Mexico </w:t>
      </w:r>
      <w:r w:rsidRPr="006B53AD">
        <w:rPr>
          <w:rFonts w:ascii="Book Antiqua" w:hAnsi="Book Antiqua"/>
          <w:color w:val="000000" w:themeColor="text1"/>
        </w:rPr>
        <w:t>(Preliminary Objections, Merits, Reparations and Costs) Judgment 31 August 2010</w:t>
      </w:r>
    </w:p>
  </w:footnote>
  <w:footnote w:id="31">
    <w:p w14:paraId="62EEACB8" w14:textId="792C2740" w:rsidR="007175B1" w:rsidRPr="006B53AD" w:rsidRDefault="007175B1" w:rsidP="006B53AD">
      <w:pPr>
        <w:pStyle w:val="Heading3"/>
        <w:shd w:val="clear" w:color="auto" w:fill="FFFFFF"/>
        <w:spacing w:before="0" w:after="120"/>
        <w:ind w:left="-380"/>
        <w:jc w:val="both"/>
        <w:rPr>
          <w:rFonts w:ascii="Book Antiqua" w:hAnsi="Book Antiqua"/>
          <w:color w:val="000000" w:themeColor="text1"/>
          <w:sz w:val="20"/>
          <w:szCs w:val="20"/>
        </w:rPr>
      </w:pPr>
      <w:r w:rsidRPr="006B53AD">
        <w:rPr>
          <w:rStyle w:val="FootnoteReference"/>
          <w:rFonts w:ascii="Book Antiqua" w:hAnsi="Book Antiqua"/>
          <w:color w:val="000000" w:themeColor="text1"/>
          <w:sz w:val="20"/>
          <w:szCs w:val="20"/>
        </w:rPr>
        <w:footnoteRef/>
      </w:r>
      <w:r w:rsidRPr="006B53AD">
        <w:rPr>
          <w:rFonts w:ascii="Book Antiqua" w:hAnsi="Book Antiqua"/>
          <w:color w:val="000000" w:themeColor="text1"/>
          <w:sz w:val="20"/>
          <w:szCs w:val="20"/>
        </w:rPr>
        <w:t xml:space="preserve"> E.g. </w:t>
      </w:r>
      <w:r w:rsidRPr="006B53AD">
        <w:rPr>
          <w:rStyle w:val="Strong"/>
          <w:rFonts w:ascii="Book Antiqua" w:hAnsi="Book Antiqua"/>
          <w:b w:val="0"/>
          <w:bCs w:val="0"/>
          <w:i/>
          <w:iCs/>
          <w:color w:val="000000" w:themeColor="text1"/>
          <w:sz w:val="20"/>
          <w:szCs w:val="20"/>
        </w:rPr>
        <w:t>African Commission on Human and Peoples’ Rights, Democratic Republic of the Congo v. Burundi, Rwanda and Uganda</w:t>
      </w:r>
      <w:r w:rsidRPr="006B53AD">
        <w:rPr>
          <w:rStyle w:val="Strong"/>
          <w:rFonts w:ascii="Book Antiqua" w:hAnsi="Book Antiqua"/>
          <w:b w:val="0"/>
          <w:bCs w:val="0"/>
          <w:color w:val="000000" w:themeColor="text1"/>
          <w:sz w:val="20"/>
          <w:szCs w:val="20"/>
        </w:rPr>
        <w:t xml:space="preserve">, (2004) AHRLR 19 (ACHPR 2003), Communication 227/99. </w:t>
      </w:r>
    </w:p>
  </w:footnote>
  <w:footnote w:id="32">
    <w:p w14:paraId="2B360B8E" w14:textId="281CBCE2" w:rsidR="007175B1" w:rsidRPr="006B53AD" w:rsidRDefault="007175B1" w:rsidP="006B53AD">
      <w:pPr>
        <w:pStyle w:val="FootnoteText"/>
        <w:jc w:val="both"/>
        <w:rPr>
          <w:rFonts w:ascii="Book Antiqua" w:hAnsi="Book Antiqua"/>
          <w:color w:val="000000" w:themeColor="text1"/>
          <w:lang w:val="en-GB"/>
        </w:rPr>
      </w:pPr>
      <w:r w:rsidRPr="006B53AD">
        <w:rPr>
          <w:rStyle w:val="FootnoteReference"/>
          <w:rFonts w:ascii="Book Antiqua" w:hAnsi="Book Antiqua"/>
          <w:color w:val="000000" w:themeColor="text1"/>
        </w:rPr>
        <w:footnoteRef/>
      </w:r>
      <w:r w:rsidRPr="006B53AD">
        <w:rPr>
          <w:rFonts w:ascii="Book Antiqua" w:hAnsi="Book Antiqua"/>
          <w:color w:val="000000" w:themeColor="text1"/>
        </w:rPr>
        <w:t xml:space="preserve"> </w:t>
      </w:r>
      <w:r w:rsidRPr="006B53AD">
        <w:rPr>
          <w:rFonts w:ascii="Book Antiqua" w:hAnsi="Book Antiqua"/>
          <w:color w:val="000000" w:themeColor="text1"/>
          <w:lang w:val="en-GB"/>
        </w:rPr>
        <w:t>“</w:t>
      </w:r>
      <w:r w:rsidRPr="006B53AD">
        <w:rPr>
          <w:rFonts w:ascii="Book Antiqua" w:hAnsi="Book Antiqua"/>
          <w:color w:val="000000" w:themeColor="text1"/>
        </w:rPr>
        <w:t xml:space="preserve">In certain cases, some forms of gender-based violence against women may also constitute international crimes.” </w:t>
      </w:r>
    </w:p>
  </w:footnote>
  <w:footnote w:id="33">
    <w:p w14:paraId="521B7864" w14:textId="6C20DA28" w:rsidR="007175B1" w:rsidRPr="006B53AD" w:rsidRDefault="007175B1" w:rsidP="006B53AD">
      <w:pPr>
        <w:pStyle w:val="FootnoteText"/>
        <w:jc w:val="both"/>
        <w:rPr>
          <w:rFonts w:ascii="Book Antiqua" w:hAnsi="Book Antiqua"/>
          <w:color w:val="000000" w:themeColor="text1"/>
          <w:lang w:val="en-GB"/>
        </w:rPr>
      </w:pPr>
      <w:r w:rsidRPr="006B53AD">
        <w:rPr>
          <w:rStyle w:val="FootnoteReference"/>
          <w:rFonts w:ascii="Book Antiqua" w:hAnsi="Book Antiqua"/>
          <w:color w:val="000000" w:themeColor="text1"/>
        </w:rPr>
        <w:footnoteRef/>
      </w:r>
      <w:r w:rsidRPr="006B53AD">
        <w:rPr>
          <w:rFonts w:ascii="Book Antiqua" w:hAnsi="Book Antiqua"/>
          <w:color w:val="000000" w:themeColor="text1"/>
        </w:rPr>
        <w:t xml:space="preserve"> </w:t>
      </w:r>
      <w:r w:rsidRPr="007E099F">
        <w:rPr>
          <w:rFonts w:cs="Calibri"/>
          <w:i/>
        </w:rPr>
        <w:t xml:space="preserve">Prosecutor v. </w:t>
      </w:r>
      <w:proofErr w:type="spellStart"/>
      <w:r w:rsidRPr="007E099F">
        <w:rPr>
          <w:rFonts w:cs="Calibri"/>
          <w:i/>
        </w:rPr>
        <w:t>Kunarac</w:t>
      </w:r>
      <w:proofErr w:type="spellEnd"/>
      <w:r w:rsidRPr="007E099F">
        <w:rPr>
          <w:rFonts w:cs="Calibri"/>
          <w:i/>
        </w:rPr>
        <w:t>, Kovac and Vukovic,</w:t>
      </w:r>
      <w:r w:rsidRPr="007E099F">
        <w:rPr>
          <w:rFonts w:cs="Calibri"/>
        </w:rPr>
        <w:t xml:space="preserve"> IT-96-23 (October 22, 2001)</w:t>
      </w:r>
      <w:r>
        <w:rPr>
          <w:rFonts w:cs="Calibri"/>
        </w:rPr>
        <w:t>.</w:t>
      </w:r>
    </w:p>
  </w:footnote>
  <w:footnote w:id="34">
    <w:p w14:paraId="6C263BE4" w14:textId="287A4FD8" w:rsidR="007175B1" w:rsidRPr="006B53AD" w:rsidRDefault="007175B1" w:rsidP="006B53AD">
      <w:pPr>
        <w:pStyle w:val="FootnoteText"/>
        <w:jc w:val="both"/>
        <w:rPr>
          <w:rFonts w:ascii="Book Antiqua" w:hAnsi="Book Antiqua"/>
          <w:color w:val="000000" w:themeColor="text1"/>
          <w:lang w:val="en-GB"/>
        </w:rPr>
      </w:pPr>
      <w:r w:rsidRPr="006B53AD">
        <w:rPr>
          <w:rStyle w:val="FootnoteReference"/>
          <w:rFonts w:ascii="Book Antiqua" w:hAnsi="Book Antiqua"/>
          <w:color w:val="000000" w:themeColor="text1"/>
        </w:rPr>
        <w:footnoteRef/>
      </w:r>
      <w:r w:rsidRPr="006B53AD">
        <w:rPr>
          <w:rFonts w:ascii="Book Antiqua" w:hAnsi="Book Antiqua"/>
          <w:color w:val="000000" w:themeColor="text1"/>
        </w:rPr>
        <w:t xml:space="preserve"> </w:t>
      </w:r>
      <w:r w:rsidRPr="007E099F">
        <w:rPr>
          <w:rFonts w:cs="Calibri"/>
          <w:i/>
        </w:rPr>
        <w:t xml:space="preserve">Prosecutor v. </w:t>
      </w:r>
      <w:proofErr w:type="spellStart"/>
      <w:proofErr w:type="gramStart"/>
      <w:r w:rsidRPr="007E099F">
        <w:rPr>
          <w:rFonts w:cs="Calibri"/>
          <w:i/>
        </w:rPr>
        <w:t>Furundzija</w:t>
      </w:r>
      <w:proofErr w:type="spellEnd"/>
      <w:r w:rsidRPr="007E099F">
        <w:rPr>
          <w:rFonts w:cs="Calibri"/>
          <w:i/>
        </w:rPr>
        <w:t>,</w:t>
      </w:r>
      <w:r w:rsidRPr="007E099F">
        <w:rPr>
          <w:rFonts w:cs="Calibri"/>
        </w:rPr>
        <w:t xml:space="preserve">  IT</w:t>
      </w:r>
      <w:proofErr w:type="gramEnd"/>
      <w:r w:rsidRPr="007E099F">
        <w:rPr>
          <w:rFonts w:cs="Calibri"/>
        </w:rPr>
        <w:t>-95-17/1-T, (July, 21, 2000)</w:t>
      </w:r>
      <w:r>
        <w:rPr>
          <w:rFonts w:cs="Calibri"/>
        </w:rPr>
        <w:t>.</w:t>
      </w:r>
    </w:p>
  </w:footnote>
  <w:footnote w:id="35">
    <w:p w14:paraId="7CBEB9C3" w14:textId="5098EFA2" w:rsidR="007175B1" w:rsidRPr="006B53AD" w:rsidRDefault="007175B1" w:rsidP="006B53AD">
      <w:pPr>
        <w:pStyle w:val="FootnoteText"/>
        <w:jc w:val="both"/>
        <w:rPr>
          <w:rFonts w:ascii="Book Antiqua" w:hAnsi="Book Antiqua"/>
          <w:color w:val="000000" w:themeColor="text1"/>
          <w:lang w:val="en-GB"/>
        </w:rPr>
      </w:pPr>
      <w:r w:rsidRPr="006B53AD">
        <w:rPr>
          <w:rStyle w:val="FootnoteReference"/>
          <w:rFonts w:ascii="Book Antiqua" w:hAnsi="Book Antiqua"/>
          <w:color w:val="000000" w:themeColor="text1"/>
        </w:rPr>
        <w:footnoteRef/>
      </w:r>
      <w:r w:rsidRPr="006B53AD">
        <w:rPr>
          <w:rFonts w:ascii="Book Antiqua" w:hAnsi="Book Antiqua"/>
          <w:color w:val="000000" w:themeColor="text1"/>
        </w:rPr>
        <w:t xml:space="preserve"> Prosecutor v </w:t>
      </w:r>
      <w:r w:rsidRPr="006B53AD">
        <w:rPr>
          <w:rFonts w:ascii="Book Antiqua" w:hAnsi="Book Antiqua" w:cs="Helvetica"/>
          <w:color w:val="000000" w:themeColor="text1"/>
          <w:shd w:val="clear" w:color="auto" w:fill="FFFFFF"/>
        </w:rPr>
        <w:t>Hazim Delić. Rape was qualified as a form of torture – the first such judgement by an international criminal tribunal.</w:t>
      </w:r>
      <w:r w:rsidRPr="00C313E7">
        <w:rPr>
          <w:rFonts w:cs="Calibri"/>
          <w:i/>
        </w:rPr>
        <w:t xml:space="preserve"> </w:t>
      </w:r>
      <w:r w:rsidRPr="007E099F">
        <w:rPr>
          <w:rFonts w:cs="Calibri"/>
          <w:i/>
        </w:rPr>
        <w:t xml:space="preserve">Prosecutor v. </w:t>
      </w:r>
      <w:proofErr w:type="spellStart"/>
      <w:r w:rsidRPr="007E099F">
        <w:rPr>
          <w:rFonts w:cs="Calibri"/>
          <w:i/>
        </w:rPr>
        <w:t>Delacic</w:t>
      </w:r>
      <w:proofErr w:type="spellEnd"/>
      <w:r w:rsidRPr="007E099F">
        <w:rPr>
          <w:rFonts w:cs="Calibri"/>
          <w:i/>
        </w:rPr>
        <w:t xml:space="preserve"> et al.,</w:t>
      </w:r>
      <w:r w:rsidRPr="007E099F">
        <w:rPr>
          <w:rFonts w:cs="Calibri"/>
        </w:rPr>
        <w:t xml:space="preserve"> IT-96-21-T, (Nov. 16, 1998</w:t>
      </w:r>
      <w:r>
        <w:rPr>
          <w:rFonts w:cs="Calibri"/>
        </w:rPr>
        <w:t xml:space="preserve">. </w:t>
      </w:r>
    </w:p>
  </w:footnote>
  <w:footnote w:id="36">
    <w:p w14:paraId="3201DA60" w14:textId="36856562" w:rsidR="007175B1" w:rsidRPr="006B53AD" w:rsidRDefault="007175B1" w:rsidP="006B53AD">
      <w:pPr>
        <w:pStyle w:val="FootnoteText"/>
        <w:jc w:val="both"/>
        <w:rPr>
          <w:rFonts w:ascii="Book Antiqua" w:hAnsi="Book Antiqua"/>
          <w:color w:val="000000" w:themeColor="text1"/>
          <w:lang w:val="en-GB"/>
        </w:rPr>
      </w:pPr>
      <w:r w:rsidRPr="006B53AD">
        <w:rPr>
          <w:rStyle w:val="FootnoteReference"/>
          <w:rFonts w:ascii="Book Antiqua" w:hAnsi="Book Antiqua"/>
          <w:color w:val="000000" w:themeColor="text1"/>
        </w:rPr>
        <w:footnoteRef/>
      </w:r>
      <w:r w:rsidRPr="006B53AD">
        <w:rPr>
          <w:rFonts w:ascii="Book Antiqua" w:hAnsi="Book Antiqua"/>
          <w:color w:val="000000" w:themeColor="text1"/>
        </w:rPr>
        <w:t xml:space="preserve"> </w:t>
      </w:r>
      <w:r w:rsidR="00FE3AE5" w:rsidRPr="007E099F">
        <w:rPr>
          <w:rFonts w:cs="Calibri"/>
          <w:i/>
        </w:rPr>
        <w:t xml:space="preserve">Prosecutor v. </w:t>
      </w:r>
      <w:proofErr w:type="spellStart"/>
      <w:r w:rsidR="00FE3AE5" w:rsidRPr="007E099F">
        <w:rPr>
          <w:rFonts w:cs="Calibri"/>
          <w:i/>
        </w:rPr>
        <w:t>Kunarac</w:t>
      </w:r>
      <w:proofErr w:type="spellEnd"/>
      <w:r w:rsidR="00FE3AE5" w:rsidRPr="007E099F">
        <w:rPr>
          <w:rFonts w:cs="Calibri"/>
          <w:i/>
        </w:rPr>
        <w:t>, Kovac and Vukovic,</w:t>
      </w:r>
      <w:r w:rsidR="00FE3AE5" w:rsidRPr="007E099F">
        <w:rPr>
          <w:rFonts w:cs="Calibri"/>
        </w:rPr>
        <w:t xml:space="preserve"> IT-96-23 (October 22, 2001)</w:t>
      </w:r>
      <w:r w:rsidR="00FE3AE5">
        <w:rPr>
          <w:rFonts w:cs="Calibri"/>
        </w:rPr>
        <w:t>.</w:t>
      </w:r>
    </w:p>
  </w:footnote>
  <w:footnote w:id="37">
    <w:p w14:paraId="06D3E785" w14:textId="77777777" w:rsidR="007175B1" w:rsidRPr="006B53AD" w:rsidRDefault="007175B1" w:rsidP="006B53AD">
      <w:pPr>
        <w:pStyle w:val="FootnoteText"/>
        <w:jc w:val="both"/>
        <w:rPr>
          <w:rFonts w:ascii="Book Antiqua" w:hAnsi="Book Antiqua" w:cstheme="minorHAnsi"/>
          <w:color w:val="000000" w:themeColor="text1"/>
          <w:lang w:val="en-GB"/>
        </w:rPr>
      </w:pPr>
      <w:r w:rsidRPr="006B53AD">
        <w:rPr>
          <w:rStyle w:val="FootnoteReference"/>
          <w:rFonts w:ascii="Book Antiqua" w:hAnsi="Book Antiqua" w:cstheme="minorHAnsi"/>
          <w:color w:val="000000" w:themeColor="text1"/>
        </w:rPr>
        <w:footnoteRef/>
      </w:r>
      <w:r w:rsidRPr="006B53AD">
        <w:rPr>
          <w:rFonts w:ascii="Book Antiqua" w:hAnsi="Book Antiqua" w:cstheme="minorHAnsi"/>
          <w:color w:val="000000" w:themeColor="text1"/>
        </w:rPr>
        <w:t xml:space="preserve"> </w:t>
      </w:r>
      <w:r w:rsidRPr="006B53AD">
        <w:rPr>
          <w:rStyle w:val="Emphasis"/>
          <w:rFonts w:ascii="Book Antiqua" w:eastAsiaTheme="majorEastAsia" w:hAnsi="Book Antiqua" w:cstheme="minorHAnsi"/>
          <w:color w:val="000000" w:themeColor="text1"/>
          <w:shd w:val="clear" w:color="auto" w:fill="FFFFFF"/>
        </w:rPr>
        <w:t>Convention</w:t>
      </w:r>
      <w:r w:rsidRPr="006B53AD">
        <w:rPr>
          <w:rFonts w:ascii="Book Antiqua" w:hAnsi="Book Antiqua" w:cstheme="minorHAnsi"/>
          <w:color w:val="000000" w:themeColor="text1"/>
          <w:shd w:val="clear" w:color="auto" w:fill="FFFFFF"/>
        </w:rPr>
        <w:t> on the Prevention and Punishment of the Crime of </w:t>
      </w:r>
      <w:r w:rsidRPr="006B53AD">
        <w:rPr>
          <w:rStyle w:val="Emphasis"/>
          <w:rFonts w:ascii="Book Antiqua" w:eastAsiaTheme="majorEastAsia" w:hAnsi="Book Antiqua" w:cstheme="minorHAnsi"/>
          <w:color w:val="000000" w:themeColor="text1"/>
          <w:shd w:val="clear" w:color="auto" w:fill="FFFFFF"/>
        </w:rPr>
        <w:t xml:space="preserve">Genocide, New York, 9 December </w:t>
      </w:r>
      <w:r w:rsidRPr="006B53AD">
        <w:rPr>
          <w:rFonts w:ascii="Book Antiqua" w:hAnsi="Book Antiqua" w:cstheme="minorHAnsi"/>
          <w:color w:val="000000" w:themeColor="text1"/>
          <w:shd w:val="clear" w:color="auto" w:fill="FFFFFF"/>
        </w:rPr>
        <w:t xml:space="preserve">1948, article 2. </w:t>
      </w:r>
    </w:p>
  </w:footnote>
  <w:footnote w:id="38">
    <w:p w14:paraId="0A659F87" w14:textId="77777777" w:rsidR="007175B1" w:rsidRPr="006B53AD" w:rsidRDefault="007175B1" w:rsidP="006B53AD">
      <w:pPr>
        <w:pStyle w:val="FootnoteText"/>
        <w:jc w:val="both"/>
        <w:rPr>
          <w:rFonts w:ascii="Book Antiqua" w:hAnsi="Book Antiqua" w:cstheme="minorHAnsi"/>
          <w:color w:val="000000" w:themeColor="text1"/>
          <w:lang w:val="en-GB"/>
        </w:rPr>
      </w:pPr>
      <w:r w:rsidRPr="006B53AD">
        <w:rPr>
          <w:rStyle w:val="FootnoteReference"/>
          <w:rFonts w:ascii="Book Antiqua" w:hAnsi="Book Antiqua" w:cstheme="minorHAnsi"/>
          <w:color w:val="000000" w:themeColor="text1"/>
        </w:rPr>
        <w:footnoteRef/>
      </w:r>
      <w:r w:rsidRPr="006B53AD">
        <w:rPr>
          <w:rFonts w:ascii="Book Antiqua" w:hAnsi="Book Antiqua" w:cstheme="minorHAnsi"/>
          <w:color w:val="000000" w:themeColor="text1"/>
        </w:rPr>
        <w:t xml:space="preserve"> In </w:t>
      </w:r>
      <w:r w:rsidRPr="006B53AD">
        <w:rPr>
          <w:rFonts w:ascii="Book Antiqua" w:hAnsi="Book Antiqua" w:cstheme="minorHAnsi"/>
          <w:i/>
          <w:iCs/>
          <w:color w:val="000000" w:themeColor="text1"/>
          <w:lang w:val="en-GB"/>
        </w:rPr>
        <w:t>Prosecutor v Jean-Paul Akayesu</w:t>
      </w:r>
      <w:r w:rsidRPr="00FE3AE5">
        <w:rPr>
          <w:rFonts w:ascii="Book Antiqua" w:hAnsi="Book Antiqua" w:cstheme="minorHAnsi"/>
          <w:b/>
          <w:bCs/>
          <w:color w:val="000000" w:themeColor="text1"/>
          <w:lang w:val="en-GB"/>
        </w:rPr>
        <w:t xml:space="preserve">, </w:t>
      </w:r>
      <w:r w:rsidRPr="00FE3AE5">
        <w:rPr>
          <w:rStyle w:val="Strong"/>
          <w:rFonts w:ascii="Book Antiqua" w:hAnsi="Book Antiqua" w:cstheme="minorHAnsi"/>
          <w:b w:val="0"/>
          <w:bCs w:val="0"/>
          <w:color w:val="000000" w:themeColor="text1"/>
          <w:shd w:val="clear" w:color="auto" w:fill="FFFFFF"/>
        </w:rPr>
        <w:t>ICTR-96-4-T, Trial Chamber I, 2 September 1998</w:t>
      </w:r>
      <w:r w:rsidRPr="006B53AD">
        <w:rPr>
          <w:rStyle w:val="Strong"/>
          <w:rFonts w:ascii="Book Antiqua" w:hAnsi="Book Antiqua" w:cstheme="minorHAnsi"/>
          <w:color w:val="000000" w:themeColor="text1"/>
          <w:shd w:val="clear" w:color="auto" w:fill="FFFFFF"/>
        </w:rPr>
        <w:t>,</w:t>
      </w:r>
      <w:r w:rsidRPr="006B53AD">
        <w:rPr>
          <w:rFonts w:ascii="Book Antiqua" w:hAnsi="Book Antiqua" w:cstheme="minorHAnsi"/>
          <w:color w:val="000000" w:themeColor="text1"/>
          <w:lang w:val="en-GB"/>
        </w:rPr>
        <w:t xml:space="preserve"> the accused was convicted </w:t>
      </w:r>
      <w:r w:rsidRPr="006B53AD">
        <w:rPr>
          <w:rFonts w:ascii="Book Antiqua" w:hAnsi="Book Antiqua" w:cstheme="minorHAnsi"/>
          <w:i/>
          <w:iCs/>
          <w:color w:val="000000" w:themeColor="text1"/>
          <w:lang w:val="en-GB"/>
        </w:rPr>
        <w:t>inter alia</w:t>
      </w:r>
      <w:r w:rsidRPr="006B53AD">
        <w:rPr>
          <w:rFonts w:ascii="Book Antiqua" w:hAnsi="Book Antiqua" w:cstheme="minorHAnsi"/>
          <w:color w:val="000000" w:themeColor="text1"/>
          <w:lang w:val="en-GB"/>
        </w:rPr>
        <w:t xml:space="preserve"> of rape as a crime against humanity, acts that were core to the genocide against the Tutsis. </w:t>
      </w:r>
    </w:p>
  </w:footnote>
  <w:footnote w:id="39">
    <w:p w14:paraId="77A5B915" w14:textId="77777777" w:rsidR="007175B1" w:rsidRPr="006B53AD" w:rsidRDefault="007175B1" w:rsidP="006B53AD">
      <w:pPr>
        <w:pStyle w:val="FootnoteText"/>
        <w:jc w:val="both"/>
        <w:rPr>
          <w:rFonts w:ascii="Book Antiqua" w:hAnsi="Book Antiqua" w:cstheme="minorHAnsi"/>
          <w:color w:val="000000" w:themeColor="text1"/>
          <w:lang w:val="en-GB"/>
        </w:rPr>
      </w:pPr>
      <w:r w:rsidRPr="006B53AD">
        <w:rPr>
          <w:rStyle w:val="FootnoteReference"/>
          <w:rFonts w:ascii="Book Antiqua" w:hAnsi="Book Antiqua" w:cstheme="minorHAnsi"/>
          <w:color w:val="000000" w:themeColor="text1"/>
        </w:rPr>
        <w:footnoteRef/>
      </w:r>
      <w:r w:rsidRPr="006B53AD">
        <w:rPr>
          <w:rFonts w:ascii="Book Antiqua" w:hAnsi="Book Antiqua" w:cstheme="minorHAnsi"/>
          <w:color w:val="000000" w:themeColor="text1"/>
        </w:rPr>
        <w:t xml:space="preserve"> </w:t>
      </w:r>
      <w:r w:rsidRPr="006B53AD">
        <w:rPr>
          <w:rFonts w:ascii="Book Antiqua" w:hAnsi="Book Antiqua" w:cstheme="minorHAnsi"/>
          <w:color w:val="000000" w:themeColor="text1"/>
          <w:lang w:val="en-GB"/>
        </w:rPr>
        <w:t>Human Rights Council, ‘</w:t>
      </w:r>
      <w:r w:rsidRPr="006B53AD">
        <w:rPr>
          <w:rFonts w:ascii="Book Antiqua" w:hAnsi="Book Antiqua" w:cstheme="minorHAnsi"/>
          <w:color w:val="000000" w:themeColor="text1"/>
        </w:rPr>
        <w:t xml:space="preserve">“They came to destroy”: ISIS Crimes Against the Yazidis’, A/HRC/32/CRP.2, 15 June 2016. </w:t>
      </w:r>
    </w:p>
  </w:footnote>
  <w:footnote w:id="40">
    <w:p w14:paraId="1E966CB2" w14:textId="77777777" w:rsidR="007175B1" w:rsidRPr="006B53AD" w:rsidRDefault="007175B1" w:rsidP="006B53AD">
      <w:pPr>
        <w:pStyle w:val="FootnoteText"/>
        <w:jc w:val="both"/>
        <w:rPr>
          <w:rFonts w:ascii="Book Antiqua" w:hAnsi="Book Antiqua" w:cstheme="minorHAnsi"/>
          <w:color w:val="000000" w:themeColor="text1"/>
          <w:lang w:val="en-GB"/>
        </w:rPr>
      </w:pPr>
      <w:r w:rsidRPr="006B53AD">
        <w:rPr>
          <w:rStyle w:val="FootnoteReference"/>
          <w:rFonts w:ascii="Book Antiqua" w:hAnsi="Book Antiqua" w:cstheme="minorHAnsi"/>
          <w:color w:val="000000" w:themeColor="text1"/>
        </w:rPr>
        <w:footnoteRef/>
      </w:r>
      <w:r w:rsidRPr="006B53AD">
        <w:rPr>
          <w:rFonts w:ascii="Book Antiqua" w:hAnsi="Book Antiqua" w:cstheme="minorHAnsi"/>
          <w:color w:val="000000" w:themeColor="text1"/>
        </w:rPr>
        <w:t xml:space="preserve"> </w:t>
      </w:r>
      <w:r w:rsidRPr="006B53AD">
        <w:rPr>
          <w:rFonts w:ascii="Book Antiqua" w:hAnsi="Book Antiqua" w:cstheme="minorHAnsi"/>
          <w:color w:val="000000" w:themeColor="text1"/>
          <w:lang w:val="en-GB"/>
        </w:rPr>
        <w:t xml:space="preserve">Rome Statute of the International Criminal Court, 1998, article 7 (1) (g). </w:t>
      </w:r>
    </w:p>
  </w:footnote>
  <w:footnote w:id="41">
    <w:p w14:paraId="0BD4B685" w14:textId="77777777" w:rsidR="007175B1" w:rsidRPr="006B53AD" w:rsidRDefault="007175B1" w:rsidP="006B53AD">
      <w:pPr>
        <w:pStyle w:val="FootnoteText"/>
        <w:jc w:val="both"/>
        <w:rPr>
          <w:rFonts w:ascii="Book Antiqua" w:hAnsi="Book Antiqua" w:cstheme="minorHAnsi"/>
          <w:color w:val="000000" w:themeColor="text1"/>
          <w:lang w:val="en-GB"/>
        </w:rPr>
      </w:pPr>
      <w:r w:rsidRPr="006B53AD">
        <w:rPr>
          <w:rStyle w:val="FootnoteReference"/>
          <w:rFonts w:ascii="Book Antiqua" w:hAnsi="Book Antiqua" w:cstheme="minorHAnsi"/>
          <w:color w:val="000000" w:themeColor="text1"/>
        </w:rPr>
        <w:footnoteRef/>
      </w:r>
      <w:r w:rsidRPr="006B53AD">
        <w:rPr>
          <w:rFonts w:ascii="Book Antiqua" w:hAnsi="Book Antiqua" w:cstheme="minorHAnsi"/>
          <w:color w:val="000000" w:themeColor="text1"/>
        </w:rPr>
        <w:t xml:space="preserve"> </w:t>
      </w:r>
      <w:r w:rsidRPr="006B53AD">
        <w:rPr>
          <w:rFonts w:ascii="Book Antiqua" w:hAnsi="Book Antiqua" w:cstheme="minorHAnsi"/>
          <w:i/>
          <w:iCs/>
          <w:color w:val="000000" w:themeColor="text1"/>
          <w:lang w:val="en-GB"/>
        </w:rPr>
        <w:t>Ibid</w:t>
      </w:r>
      <w:r w:rsidRPr="006B53AD">
        <w:rPr>
          <w:rFonts w:ascii="Book Antiqua" w:hAnsi="Book Antiqua" w:cstheme="minorHAnsi"/>
          <w:color w:val="000000" w:themeColor="text1"/>
          <w:lang w:val="en-GB"/>
        </w:rPr>
        <w:t xml:space="preserve">., at article 8 (b) (xxii). </w:t>
      </w:r>
    </w:p>
  </w:footnote>
  <w:footnote w:id="42">
    <w:p w14:paraId="7A6AB539" w14:textId="77777777" w:rsidR="007175B1" w:rsidRPr="006B53AD" w:rsidRDefault="007175B1" w:rsidP="006B53AD">
      <w:pPr>
        <w:pStyle w:val="FootnoteText"/>
        <w:jc w:val="both"/>
        <w:rPr>
          <w:rFonts w:ascii="Book Antiqua" w:hAnsi="Book Antiqua" w:cstheme="minorHAnsi"/>
          <w:color w:val="000000" w:themeColor="text1"/>
          <w:lang w:val="en-GB"/>
        </w:rPr>
      </w:pPr>
      <w:r w:rsidRPr="006B53AD">
        <w:rPr>
          <w:rStyle w:val="FootnoteReference"/>
          <w:rFonts w:ascii="Book Antiqua" w:hAnsi="Book Antiqua" w:cstheme="minorHAnsi"/>
          <w:color w:val="000000" w:themeColor="text1"/>
        </w:rPr>
        <w:footnoteRef/>
      </w:r>
      <w:r w:rsidRPr="006B53AD">
        <w:rPr>
          <w:rFonts w:ascii="Book Antiqua" w:hAnsi="Book Antiqua" w:cstheme="minorHAnsi"/>
          <w:color w:val="000000" w:themeColor="text1"/>
        </w:rPr>
        <w:t xml:space="preserve"> </w:t>
      </w:r>
      <w:r w:rsidRPr="006B53AD">
        <w:rPr>
          <w:rFonts w:ascii="Book Antiqua" w:hAnsi="Book Antiqua" w:cstheme="minorHAnsi"/>
          <w:i/>
          <w:iCs/>
          <w:color w:val="000000" w:themeColor="text1"/>
          <w:lang w:val="en-GB"/>
        </w:rPr>
        <w:t>Ibid</w:t>
      </w:r>
      <w:r w:rsidRPr="006B53AD">
        <w:rPr>
          <w:rFonts w:ascii="Book Antiqua" w:hAnsi="Book Antiqua" w:cstheme="minorHAnsi"/>
          <w:color w:val="000000" w:themeColor="text1"/>
          <w:lang w:val="en-GB"/>
        </w:rPr>
        <w:t xml:space="preserve">., at article 8 (e) (vi). </w:t>
      </w:r>
    </w:p>
  </w:footnote>
  <w:footnote w:id="43">
    <w:p w14:paraId="1BA32A31" w14:textId="71E7772C" w:rsidR="007175B1" w:rsidRPr="001A3A3C" w:rsidRDefault="007175B1" w:rsidP="009C68EB">
      <w:pPr>
        <w:pStyle w:val="FootnoteText"/>
        <w:jc w:val="both"/>
        <w:rPr>
          <w:lang w:val="en-GB"/>
        </w:rPr>
      </w:pPr>
      <w:r>
        <w:rPr>
          <w:rStyle w:val="FootnoteReference"/>
        </w:rPr>
        <w:footnoteRef/>
      </w:r>
      <w:r>
        <w:t xml:space="preserve"> </w:t>
      </w:r>
      <w:r w:rsidRPr="000C74B1">
        <w:rPr>
          <w:rFonts w:cstheme="minorHAnsi"/>
        </w:rPr>
        <w:t>The WPS framework includes the following core resolutions: 1325 (2000); 1820 (2009); 1888 (2009); 1889 (2010); 1960 (2011); 2106 (2013); 2122 (2013); 2242 (2015); 2467 (2019) and 2493 (2019).</w:t>
      </w:r>
    </w:p>
  </w:footnote>
  <w:footnote w:id="44">
    <w:p w14:paraId="4AF41736" w14:textId="6ABCFBD6" w:rsidR="007175B1" w:rsidRPr="009143AB" w:rsidRDefault="007175B1">
      <w:pPr>
        <w:pStyle w:val="FootnoteText"/>
        <w:rPr>
          <w:lang w:val="en-GB"/>
        </w:rPr>
      </w:pPr>
      <w:r>
        <w:rPr>
          <w:rStyle w:val="FootnoteReference"/>
        </w:rPr>
        <w:footnoteRef/>
      </w:r>
      <w:r>
        <w:t xml:space="preserve"> </w:t>
      </w:r>
      <w:r w:rsidRPr="00AC2A31">
        <w:rPr>
          <w:i/>
          <w:iCs/>
          <w:lang w:val="en-GB"/>
        </w:rPr>
        <w:t>Germany v Italy:</w:t>
      </w:r>
      <w:r>
        <w:rPr>
          <w:lang w:val="en-GB"/>
        </w:rPr>
        <w:t xml:space="preserve"> Greece Intervening (Jurisdictional Immunities of the State) [2012] ICJ Rep 99, para 59.</w:t>
      </w:r>
    </w:p>
  </w:footnote>
  <w:footnote w:id="45">
    <w:p w14:paraId="40586808" w14:textId="7048A9C3" w:rsidR="007175B1" w:rsidRPr="00B0679D" w:rsidRDefault="007175B1" w:rsidP="00B0679D">
      <w:pPr>
        <w:pStyle w:val="FootnoteText"/>
      </w:pPr>
      <w:r>
        <w:rPr>
          <w:rStyle w:val="FootnoteReference"/>
        </w:rPr>
        <w:footnoteRef/>
      </w:r>
      <w:r>
        <w:t xml:space="preserve"> Cudak v Lithuania (2010) 51 EHRR 15 ‘the application of absolute state immunity has, for many years, clearly been eroded’ para 64.</w:t>
      </w:r>
    </w:p>
  </w:footnote>
  <w:footnote w:id="46">
    <w:p w14:paraId="58AFD8A8" w14:textId="39C04B15" w:rsidR="007175B1" w:rsidRPr="005C0092" w:rsidRDefault="007175B1">
      <w:pPr>
        <w:pStyle w:val="FootnoteText"/>
        <w:rPr>
          <w:lang w:val="en-GB"/>
        </w:rPr>
      </w:pPr>
      <w:r>
        <w:rPr>
          <w:rStyle w:val="FootnoteReference"/>
        </w:rPr>
        <w:footnoteRef/>
      </w:r>
      <w:r>
        <w:t xml:space="preserve"> </w:t>
      </w:r>
      <w:r>
        <w:rPr>
          <w:lang w:val="en-GB"/>
        </w:rPr>
        <w:t>Article 1(c)(</w:t>
      </w:r>
      <w:proofErr w:type="spellStart"/>
      <w:r>
        <w:rPr>
          <w:lang w:val="en-GB"/>
        </w:rPr>
        <w:t>i</w:t>
      </w:r>
      <w:proofErr w:type="spellEnd"/>
      <w:r>
        <w:rPr>
          <w:lang w:val="en-GB"/>
        </w:rPr>
        <w:t xml:space="preserve">). </w:t>
      </w:r>
    </w:p>
  </w:footnote>
  <w:footnote w:id="47">
    <w:p w14:paraId="5F9BD9DF" w14:textId="520B60FA" w:rsidR="002E11F4" w:rsidRPr="002E11F4" w:rsidRDefault="002E11F4">
      <w:pPr>
        <w:pStyle w:val="FootnoteText"/>
        <w:rPr>
          <w:lang w:val="en-GB"/>
        </w:rPr>
      </w:pPr>
      <w:r>
        <w:rPr>
          <w:rStyle w:val="FootnoteReference"/>
        </w:rPr>
        <w:footnoteRef/>
      </w:r>
      <w:r>
        <w:t xml:space="preserve"> </w:t>
      </w:r>
      <w:proofErr w:type="spellStart"/>
      <w:r w:rsidRPr="002E11F4">
        <w:rPr>
          <w:i/>
          <w:iCs/>
        </w:rPr>
        <w:t>Benkharbouche</w:t>
      </w:r>
      <w:proofErr w:type="spellEnd"/>
      <w:r w:rsidRPr="002E11F4">
        <w:rPr>
          <w:i/>
          <w:iCs/>
        </w:rPr>
        <w:t xml:space="preserve"> v Secretary of State for Foreign and Commonwealth Affairs and Libya</w:t>
      </w:r>
      <w:r w:rsidRPr="002E11F4">
        <w:t xml:space="preserve"> [2017] UKSC 62</w:t>
      </w:r>
      <w:r>
        <w:t xml:space="preserve"> para 52.</w:t>
      </w:r>
    </w:p>
  </w:footnote>
  <w:footnote w:id="48">
    <w:p w14:paraId="69180727" w14:textId="21426263" w:rsidR="002E11F4" w:rsidRPr="002E11F4" w:rsidRDefault="002E11F4">
      <w:pPr>
        <w:pStyle w:val="FootnoteText"/>
        <w:rPr>
          <w:lang w:val="en-GB"/>
        </w:rPr>
      </w:pPr>
      <w:r>
        <w:rPr>
          <w:rStyle w:val="FootnoteReference"/>
        </w:rPr>
        <w:footnoteRef/>
      </w:r>
      <w:r>
        <w:t xml:space="preserve"> </w:t>
      </w:r>
      <w:r>
        <w:rPr>
          <w:lang w:val="en-GB"/>
        </w:rPr>
        <w:t xml:space="preserve">Ibid para 37. </w:t>
      </w:r>
    </w:p>
  </w:footnote>
  <w:footnote w:id="49">
    <w:p w14:paraId="2FBE7943" w14:textId="42FC13DE" w:rsidR="002E11F4" w:rsidRPr="002E11F4" w:rsidRDefault="002E11F4">
      <w:pPr>
        <w:pStyle w:val="FootnoteText"/>
        <w:rPr>
          <w:lang w:val="en-GB"/>
        </w:rPr>
      </w:pPr>
      <w:r>
        <w:rPr>
          <w:rStyle w:val="FootnoteReference"/>
        </w:rPr>
        <w:footnoteRef/>
      </w:r>
      <w:r>
        <w:t xml:space="preserve"> </w:t>
      </w:r>
      <w:r>
        <w:rPr>
          <w:lang w:val="en-GB"/>
        </w:rPr>
        <w:t xml:space="preserve">Ibid para 51. </w:t>
      </w:r>
    </w:p>
  </w:footnote>
  <w:footnote w:id="50">
    <w:p w14:paraId="3C7B4801" w14:textId="680D8EA9" w:rsidR="006C0DFA" w:rsidRPr="006C0DFA" w:rsidRDefault="006C0DFA">
      <w:pPr>
        <w:pStyle w:val="FootnoteText"/>
        <w:rPr>
          <w:lang w:val="en-GB"/>
        </w:rPr>
      </w:pPr>
      <w:r>
        <w:rPr>
          <w:rStyle w:val="FootnoteReference"/>
        </w:rPr>
        <w:footnoteRef/>
      </w:r>
      <w:r>
        <w:t xml:space="preserve"> </w:t>
      </w:r>
      <w:r>
        <w:rPr>
          <w:lang w:val="en-GB"/>
        </w:rPr>
        <w:t>Ibid para 76.</w:t>
      </w:r>
    </w:p>
  </w:footnote>
  <w:footnote w:id="51">
    <w:p w14:paraId="2436212A" w14:textId="5C5262A8" w:rsidR="00786DF2" w:rsidRPr="00786DF2" w:rsidRDefault="00786DF2">
      <w:pPr>
        <w:pStyle w:val="FootnoteText"/>
        <w:rPr>
          <w:lang w:val="en-GB"/>
        </w:rPr>
      </w:pPr>
      <w:r>
        <w:rPr>
          <w:rStyle w:val="FootnoteReference"/>
        </w:rPr>
        <w:footnoteRef/>
      </w:r>
      <w:r>
        <w:t xml:space="preserve"> </w:t>
      </w:r>
      <w:r w:rsidRPr="00CE3C01">
        <w:rPr>
          <w:i/>
          <w:iCs/>
          <w:lang w:val="en-GB"/>
        </w:rPr>
        <w:t>Reyes v Al-Malki</w:t>
      </w:r>
      <w:r>
        <w:rPr>
          <w:lang w:val="en-GB"/>
        </w:rPr>
        <w:t xml:space="preserve"> [2017] UKSC </w:t>
      </w:r>
      <w:r w:rsidR="00CE3C01">
        <w:rPr>
          <w:lang w:val="en-GB"/>
        </w:rPr>
        <w:t xml:space="preserve">61. </w:t>
      </w:r>
    </w:p>
  </w:footnote>
  <w:footnote w:id="52">
    <w:p w14:paraId="5189E7BA" w14:textId="2C8B1411" w:rsidR="00786DF2" w:rsidRPr="00786DF2" w:rsidRDefault="00786DF2">
      <w:pPr>
        <w:pStyle w:val="FootnoteText"/>
        <w:rPr>
          <w:lang w:val="en-GB"/>
        </w:rPr>
      </w:pPr>
      <w:r>
        <w:rPr>
          <w:rStyle w:val="FootnoteReference"/>
        </w:rPr>
        <w:footnoteRef/>
      </w:r>
      <w:r>
        <w:t xml:space="preserve"> Philippa Webb and Rosana </w:t>
      </w:r>
      <w:proofErr w:type="spellStart"/>
      <w:r>
        <w:t>Garciandia</w:t>
      </w:r>
      <w:proofErr w:type="spellEnd"/>
      <w:r>
        <w:t xml:space="preserve"> ‘State responsibility for modern slavery: uncovering and bridging the gap’ </w:t>
      </w:r>
      <w:r w:rsidRPr="00CE3C01">
        <w:rPr>
          <w:i/>
          <w:iCs/>
        </w:rPr>
        <w:t>ICLQ</w:t>
      </w:r>
      <w:r>
        <w:t xml:space="preserve"> vol 68, </w:t>
      </w:r>
      <w:r w:rsidR="001E7A0B">
        <w:t xml:space="preserve">July 2019, pp. 539-571. </w:t>
      </w:r>
    </w:p>
  </w:footnote>
  <w:footnote w:id="53">
    <w:p w14:paraId="5EF04229" w14:textId="11A77835" w:rsidR="00CE3C01" w:rsidRPr="00CE3C01" w:rsidRDefault="00CE3C01" w:rsidP="00CE3C01">
      <w:pPr>
        <w:pStyle w:val="FootnoteText"/>
      </w:pPr>
      <w:r>
        <w:rPr>
          <w:rStyle w:val="FootnoteReference"/>
        </w:rPr>
        <w:footnoteRef/>
      </w:r>
      <w:r>
        <w:t xml:space="preserve"> </w:t>
      </w:r>
      <w:proofErr w:type="spellStart"/>
      <w:r>
        <w:t>Mahamdia</w:t>
      </w:r>
      <w:proofErr w:type="spellEnd"/>
      <w:r>
        <w:t xml:space="preserve"> v People’s Democratic Republic of Algeria (Case C-154/11) [2013] ICR 1, para 55-57. The court of justice of the European Union held that the state is not immune “where the functions carried out by the employee do not fall within the exercise of public powers.” </w:t>
      </w:r>
      <w:r w:rsidRPr="00CE3C01">
        <w:rPr>
          <w:i/>
          <w:iCs/>
        </w:rPr>
        <w:t>Saudi Arabia v Nelson</w:t>
      </w:r>
      <w:r>
        <w:t xml:space="preserve"> 507 US 349, 360 (1993). </w:t>
      </w:r>
    </w:p>
  </w:footnote>
  <w:footnote w:id="54">
    <w:p w14:paraId="0B067D4D" w14:textId="0D9791AF" w:rsidR="006C0DFA" w:rsidRPr="006C0DFA" w:rsidRDefault="006C0DFA">
      <w:pPr>
        <w:pStyle w:val="FootnoteText"/>
        <w:rPr>
          <w:lang w:val="en-GB"/>
        </w:rPr>
      </w:pPr>
      <w:r>
        <w:rPr>
          <w:rStyle w:val="FootnoteReference"/>
        </w:rPr>
        <w:footnoteRef/>
      </w:r>
      <w:r>
        <w:t xml:space="preserve"> Commission on Human Rights, Report of the Special Rapporteur on violence against women, its causes and consequences, </w:t>
      </w:r>
      <w:proofErr w:type="spellStart"/>
      <w:r>
        <w:t>Ms</w:t>
      </w:r>
      <w:proofErr w:type="spellEnd"/>
      <w:r>
        <w:t xml:space="preserve"> </w:t>
      </w:r>
      <w:proofErr w:type="spellStart"/>
      <w:r>
        <w:t>Radihka</w:t>
      </w:r>
      <w:proofErr w:type="spellEnd"/>
      <w:r>
        <w:t xml:space="preserve"> Coomaraswamy in accordance with Commission on Human Rights Resolution 1994/45. E/CN.4/1996/53/Add.1, 4 January 1996.</w:t>
      </w:r>
    </w:p>
  </w:footnote>
  <w:footnote w:id="55">
    <w:p w14:paraId="0201244B" w14:textId="046C42CF" w:rsidR="006C0DFA" w:rsidRPr="006C0DFA" w:rsidRDefault="006C0DFA">
      <w:pPr>
        <w:pStyle w:val="FootnoteText"/>
        <w:rPr>
          <w:lang w:val="en-GB"/>
        </w:rPr>
      </w:pPr>
      <w:r>
        <w:rPr>
          <w:rStyle w:val="FootnoteReference"/>
        </w:rPr>
        <w:footnoteRef/>
      </w:r>
      <w:r>
        <w:t xml:space="preserve"> </w:t>
      </w:r>
      <w:r>
        <w:rPr>
          <w:lang w:val="en-GB"/>
        </w:rPr>
        <w:t xml:space="preserve">Ibid para 25. </w:t>
      </w:r>
    </w:p>
  </w:footnote>
  <w:footnote w:id="56">
    <w:p w14:paraId="36E9BDC8" w14:textId="42DBE289" w:rsidR="006C0DFA" w:rsidRPr="006C0DFA" w:rsidRDefault="006C0DFA">
      <w:pPr>
        <w:pStyle w:val="FootnoteText"/>
        <w:rPr>
          <w:lang w:val="en-GB"/>
        </w:rPr>
      </w:pPr>
      <w:r>
        <w:rPr>
          <w:rStyle w:val="FootnoteReference"/>
        </w:rPr>
        <w:footnoteRef/>
      </w:r>
      <w:r>
        <w:t xml:space="preserve"> </w:t>
      </w:r>
      <w:r>
        <w:rPr>
          <w:lang w:val="en-GB"/>
        </w:rPr>
        <w:t xml:space="preserve">Ibid para 27. </w:t>
      </w:r>
    </w:p>
  </w:footnote>
  <w:footnote w:id="57">
    <w:p w14:paraId="557E0007" w14:textId="5E15FC1E" w:rsidR="007175B1" w:rsidRPr="00E209FB" w:rsidRDefault="007175B1">
      <w:pPr>
        <w:pStyle w:val="FootnoteText"/>
        <w:rPr>
          <w:lang w:val="en-GB"/>
        </w:rPr>
      </w:pPr>
      <w:r>
        <w:rPr>
          <w:rStyle w:val="FootnoteReference"/>
        </w:rPr>
        <w:footnoteRef/>
      </w:r>
      <w:r>
        <w:t xml:space="preserve"> </w:t>
      </w:r>
      <w:r w:rsidR="00CE3C01" w:rsidRPr="00AC2A31">
        <w:rPr>
          <w:i/>
          <w:iCs/>
          <w:lang w:val="en-GB"/>
        </w:rPr>
        <w:t>Germany v Italy:</w:t>
      </w:r>
      <w:r w:rsidR="00CE3C01">
        <w:rPr>
          <w:lang w:val="en-GB"/>
        </w:rPr>
        <w:t xml:space="preserve"> Greece Intervening (Jurisdictional Immunities of the State) [2012] ICJ Rep 99</w:t>
      </w:r>
    </w:p>
  </w:footnote>
  <w:footnote w:id="58">
    <w:p w14:paraId="62205613" w14:textId="29999D04" w:rsidR="007175B1" w:rsidRPr="00E209FB" w:rsidRDefault="007175B1">
      <w:pPr>
        <w:pStyle w:val="FootnoteText"/>
        <w:rPr>
          <w:lang w:val="en-GB"/>
        </w:rPr>
      </w:pPr>
      <w:r>
        <w:rPr>
          <w:rStyle w:val="FootnoteReference"/>
        </w:rPr>
        <w:footnoteRef/>
      </w:r>
      <w:r>
        <w:t xml:space="preserve"> </w:t>
      </w:r>
      <w:r>
        <w:rPr>
          <w:lang w:val="en-GB"/>
        </w:rPr>
        <w:t>Ibid para 85.</w:t>
      </w:r>
    </w:p>
  </w:footnote>
  <w:footnote w:id="59">
    <w:p w14:paraId="2D01BE31" w14:textId="17A1ABE0" w:rsidR="007175B1" w:rsidRPr="00825B7C" w:rsidRDefault="007175B1">
      <w:pPr>
        <w:pStyle w:val="FootnoteText"/>
        <w:rPr>
          <w:lang w:val="en-GB"/>
        </w:rPr>
      </w:pPr>
      <w:r>
        <w:rPr>
          <w:rStyle w:val="FootnoteReference"/>
        </w:rPr>
        <w:footnoteRef/>
      </w:r>
      <w:r>
        <w:t xml:space="preserve"> </w:t>
      </w:r>
      <w:r>
        <w:rPr>
          <w:lang w:val="en-GB"/>
        </w:rPr>
        <w:t xml:space="preserve">Lorna McGregor ‘State Immunity and Human Rights: Is there a future after Germany v Italy?’ Journal of International Criminal Justice 11 (2013), p. 128. </w:t>
      </w:r>
    </w:p>
  </w:footnote>
  <w:footnote w:id="60">
    <w:p w14:paraId="02164FF5" w14:textId="77777777" w:rsidR="00584BE2" w:rsidRPr="00891539" w:rsidRDefault="00584BE2" w:rsidP="00584BE2">
      <w:pPr>
        <w:pStyle w:val="FootnoteText"/>
        <w:rPr>
          <w:lang w:val="en-GB"/>
        </w:rPr>
      </w:pPr>
      <w:r>
        <w:rPr>
          <w:rStyle w:val="FootnoteReference"/>
        </w:rPr>
        <w:footnoteRef/>
      </w:r>
      <w:r>
        <w:t xml:space="preserve"> CEDAW General Recommendation 33 on women’s access to justice. CEDAW/C/GC/33, 23 July 2015. </w:t>
      </w:r>
    </w:p>
  </w:footnote>
  <w:footnote w:id="61">
    <w:p w14:paraId="1F9D0DC8" w14:textId="77777777" w:rsidR="007175B1" w:rsidRPr="006B53AD" w:rsidRDefault="007175B1" w:rsidP="006B53AD">
      <w:pPr>
        <w:pStyle w:val="FootnoteText"/>
        <w:jc w:val="both"/>
        <w:rPr>
          <w:rFonts w:ascii="Book Antiqua" w:hAnsi="Book Antiqua"/>
          <w:color w:val="000000" w:themeColor="text1"/>
          <w:lang w:val="en-GB"/>
        </w:rPr>
      </w:pPr>
      <w:r w:rsidRPr="006B53AD">
        <w:rPr>
          <w:rStyle w:val="FootnoteReference"/>
          <w:rFonts w:ascii="Book Antiqua" w:hAnsi="Book Antiqua"/>
          <w:color w:val="000000" w:themeColor="text1"/>
        </w:rPr>
        <w:footnoteRef/>
      </w:r>
      <w:r w:rsidRPr="006B53AD">
        <w:rPr>
          <w:rFonts w:ascii="Book Antiqua" w:hAnsi="Book Antiqua"/>
          <w:color w:val="000000" w:themeColor="text1"/>
        </w:rPr>
        <w:t xml:space="preserve"> </w:t>
      </w:r>
      <w:r w:rsidRPr="006B53AD">
        <w:rPr>
          <w:rFonts w:ascii="Book Antiqua" w:hAnsi="Book Antiqua"/>
          <w:color w:val="000000" w:themeColor="text1"/>
          <w:lang w:val="en-GB"/>
        </w:rPr>
        <w:t xml:space="preserve">Trafficking was defined in the </w:t>
      </w:r>
      <w:r w:rsidRPr="006B53AD">
        <w:rPr>
          <w:rFonts w:ascii="Book Antiqua" w:hAnsi="Book Antiqua"/>
          <w:color w:val="000000" w:themeColor="text1"/>
        </w:rPr>
        <w:t>Protocol to Prevent, Suppress and Punish Trafficking in Persons, Especially Women and Children, supplementing the United Nations Convention against Transnational Organized Crime, 2000 (Palermo Protocol) article 3. While the situation of the “comfort women” predates the Palermo Protocol trafficking was already subject to international legal regulation by 1945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172E"/>
    <w:multiLevelType w:val="hybridMultilevel"/>
    <w:tmpl w:val="EF52DA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623503"/>
    <w:multiLevelType w:val="hybridMultilevel"/>
    <w:tmpl w:val="755CBF44"/>
    <w:lvl w:ilvl="0" w:tplc="614CFCA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B1D47"/>
    <w:multiLevelType w:val="hybridMultilevel"/>
    <w:tmpl w:val="9F261F3A"/>
    <w:lvl w:ilvl="0" w:tplc="E034D5AE">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B024B4"/>
    <w:multiLevelType w:val="hybridMultilevel"/>
    <w:tmpl w:val="7C404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22085"/>
    <w:multiLevelType w:val="hybridMultilevel"/>
    <w:tmpl w:val="70B2DA0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278C621B"/>
    <w:multiLevelType w:val="hybridMultilevel"/>
    <w:tmpl w:val="FA869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CE154B"/>
    <w:multiLevelType w:val="hybridMultilevel"/>
    <w:tmpl w:val="4C32833E"/>
    <w:lvl w:ilvl="0" w:tplc="B0263E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556D08"/>
    <w:multiLevelType w:val="hybridMultilevel"/>
    <w:tmpl w:val="D3B2DC30"/>
    <w:lvl w:ilvl="0" w:tplc="E034D5AE">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557231"/>
    <w:multiLevelType w:val="hybridMultilevel"/>
    <w:tmpl w:val="D92283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14211C"/>
    <w:multiLevelType w:val="hybridMultilevel"/>
    <w:tmpl w:val="DC3C9C0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FB42DE"/>
    <w:multiLevelType w:val="hybridMultilevel"/>
    <w:tmpl w:val="91FCD840"/>
    <w:lvl w:ilvl="0" w:tplc="E034D5AE">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8D2FBC"/>
    <w:multiLevelType w:val="hybridMultilevel"/>
    <w:tmpl w:val="8E8ABE68"/>
    <w:lvl w:ilvl="0" w:tplc="D59A278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BF04F4"/>
    <w:multiLevelType w:val="hybridMultilevel"/>
    <w:tmpl w:val="A2E81B70"/>
    <w:lvl w:ilvl="0" w:tplc="E034D5AE">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3652757">
    <w:abstractNumId w:val="7"/>
  </w:num>
  <w:num w:numId="2" w16cid:durableId="1169634774">
    <w:abstractNumId w:val="0"/>
  </w:num>
  <w:num w:numId="3" w16cid:durableId="1766923254">
    <w:abstractNumId w:val="3"/>
  </w:num>
  <w:num w:numId="4" w16cid:durableId="438376959">
    <w:abstractNumId w:val="11"/>
  </w:num>
  <w:num w:numId="5" w16cid:durableId="1557550892">
    <w:abstractNumId w:val="4"/>
  </w:num>
  <w:num w:numId="6" w16cid:durableId="1045369407">
    <w:abstractNumId w:val="9"/>
  </w:num>
  <w:num w:numId="7" w16cid:durableId="1473331327">
    <w:abstractNumId w:val="5"/>
  </w:num>
  <w:num w:numId="8" w16cid:durableId="1669358340">
    <w:abstractNumId w:val="6"/>
  </w:num>
  <w:num w:numId="9" w16cid:durableId="1929315401">
    <w:abstractNumId w:val="1"/>
  </w:num>
  <w:num w:numId="10" w16cid:durableId="27026568">
    <w:abstractNumId w:val="8"/>
  </w:num>
  <w:num w:numId="11" w16cid:durableId="905455215">
    <w:abstractNumId w:val="12"/>
  </w:num>
  <w:num w:numId="12" w16cid:durableId="1131829294">
    <w:abstractNumId w:val="10"/>
  </w:num>
  <w:num w:numId="13" w16cid:durableId="984623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A43"/>
    <w:rsid w:val="00037963"/>
    <w:rsid w:val="00043273"/>
    <w:rsid w:val="00047A50"/>
    <w:rsid w:val="00053260"/>
    <w:rsid w:val="00053546"/>
    <w:rsid w:val="0007042C"/>
    <w:rsid w:val="00080973"/>
    <w:rsid w:val="000874DF"/>
    <w:rsid w:val="000A3D2B"/>
    <w:rsid w:val="000B6014"/>
    <w:rsid w:val="000B68F0"/>
    <w:rsid w:val="000B7D69"/>
    <w:rsid w:val="000C32D2"/>
    <w:rsid w:val="000D168D"/>
    <w:rsid w:val="000D2DD7"/>
    <w:rsid w:val="000E1002"/>
    <w:rsid w:val="000F36BD"/>
    <w:rsid w:val="00113D3C"/>
    <w:rsid w:val="0011430B"/>
    <w:rsid w:val="001222D0"/>
    <w:rsid w:val="0013569D"/>
    <w:rsid w:val="00135B6E"/>
    <w:rsid w:val="001508B2"/>
    <w:rsid w:val="00174377"/>
    <w:rsid w:val="001A3A3C"/>
    <w:rsid w:val="001B4D94"/>
    <w:rsid w:val="001B5C4C"/>
    <w:rsid w:val="001D34DF"/>
    <w:rsid w:val="001E7A0B"/>
    <w:rsid w:val="001F5F90"/>
    <w:rsid w:val="00203C91"/>
    <w:rsid w:val="00204E9B"/>
    <w:rsid w:val="00206675"/>
    <w:rsid w:val="00216496"/>
    <w:rsid w:val="00233729"/>
    <w:rsid w:val="00234E30"/>
    <w:rsid w:val="00235BBC"/>
    <w:rsid w:val="00237A90"/>
    <w:rsid w:val="00251FCC"/>
    <w:rsid w:val="002725B7"/>
    <w:rsid w:val="00291967"/>
    <w:rsid w:val="002A5E57"/>
    <w:rsid w:val="002B2365"/>
    <w:rsid w:val="002C24B3"/>
    <w:rsid w:val="002E11F4"/>
    <w:rsid w:val="002F4056"/>
    <w:rsid w:val="002F5220"/>
    <w:rsid w:val="00317A2D"/>
    <w:rsid w:val="003251A8"/>
    <w:rsid w:val="00327A96"/>
    <w:rsid w:val="00370110"/>
    <w:rsid w:val="00386696"/>
    <w:rsid w:val="00387223"/>
    <w:rsid w:val="003922C5"/>
    <w:rsid w:val="00396163"/>
    <w:rsid w:val="003A3E1C"/>
    <w:rsid w:val="003B2A70"/>
    <w:rsid w:val="003B4E8E"/>
    <w:rsid w:val="003D4808"/>
    <w:rsid w:val="003E2403"/>
    <w:rsid w:val="003E5810"/>
    <w:rsid w:val="004002F1"/>
    <w:rsid w:val="00414872"/>
    <w:rsid w:val="004474A4"/>
    <w:rsid w:val="00454C4E"/>
    <w:rsid w:val="00457E40"/>
    <w:rsid w:val="00497710"/>
    <w:rsid w:val="004B0C4F"/>
    <w:rsid w:val="004D367D"/>
    <w:rsid w:val="004E43E1"/>
    <w:rsid w:val="004E5E05"/>
    <w:rsid w:val="004F414B"/>
    <w:rsid w:val="00501431"/>
    <w:rsid w:val="00520294"/>
    <w:rsid w:val="005311C6"/>
    <w:rsid w:val="00584BE2"/>
    <w:rsid w:val="0059387C"/>
    <w:rsid w:val="005B5AB6"/>
    <w:rsid w:val="005C0092"/>
    <w:rsid w:val="005E297F"/>
    <w:rsid w:val="005F2C97"/>
    <w:rsid w:val="00605B10"/>
    <w:rsid w:val="006134A3"/>
    <w:rsid w:val="00680499"/>
    <w:rsid w:val="006A53A9"/>
    <w:rsid w:val="006B53AD"/>
    <w:rsid w:val="006B76B0"/>
    <w:rsid w:val="006C0DFA"/>
    <w:rsid w:val="006F4F3C"/>
    <w:rsid w:val="00711E10"/>
    <w:rsid w:val="007175B1"/>
    <w:rsid w:val="00722797"/>
    <w:rsid w:val="007319F7"/>
    <w:rsid w:val="007501C3"/>
    <w:rsid w:val="0075604E"/>
    <w:rsid w:val="007610BE"/>
    <w:rsid w:val="00777C18"/>
    <w:rsid w:val="00786DF2"/>
    <w:rsid w:val="00787616"/>
    <w:rsid w:val="007A07CA"/>
    <w:rsid w:val="007A4E1C"/>
    <w:rsid w:val="007A5CB5"/>
    <w:rsid w:val="007C0F99"/>
    <w:rsid w:val="00803126"/>
    <w:rsid w:val="0080791C"/>
    <w:rsid w:val="00812307"/>
    <w:rsid w:val="00813C8F"/>
    <w:rsid w:val="00815613"/>
    <w:rsid w:val="00825B7C"/>
    <w:rsid w:val="00835806"/>
    <w:rsid w:val="00843884"/>
    <w:rsid w:val="00855D4E"/>
    <w:rsid w:val="00855EF8"/>
    <w:rsid w:val="00857A1F"/>
    <w:rsid w:val="008732B7"/>
    <w:rsid w:val="00891539"/>
    <w:rsid w:val="008A3F4B"/>
    <w:rsid w:val="008E3392"/>
    <w:rsid w:val="00905775"/>
    <w:rsid w:val="0090578A"/>
    <w:rsid w:val="00907663"/>
    <w:rsid w:val="00907FE1"/>
    <w:rsid w:val="009143AB"/>
    <w:rsid w:val="00920279"/>
    <w:rsid w:val="00923085"/>
    <w:rsid w:val="00926B29"/>
    <w:rsid w:val="00931013"/>
    <w:rsid w:val="00933660"/>
    <w:rsid w:val="00936E10"/>
    <w:rsid w:val="009441C0"/>
    <w:rsid w:val="009537DE"/>
    <w:rsid w:val="00963860"/>
    <w:rsid w:val="00997AF8"/>
    <w:rsid w:val="009A2E32"/>
    <w:rsid w:val="009C0052"/>
    <w:rsid w:val="009C68EB"/>
    <w:rsid w:val="009F4B6B"/>
    <w:rsid w:val="00A13121"/>
    <w:rsid w:val="00A1618A"/>
    <w:rsid w:val="00A57BB4"/>
    <w:rsid w:val="00A63775"/>
    <w:rsid w:val="00A9079E"/>
    <w:rsid w:val="00A97E36"/>
    <w:rsid w:val="00AA2A73"/>
    <w:rsid w:val="00AC268F"/>
    <w:rsid w:val="00AC2A31"/>
    <w:rsid w:val="00AC2A43"/>
    <w:rsid w:val="00AC4BE8"/>
    <w:rsid w:val="00AD385F"/>
    <w:rsid w:val="00AD44E9"/>
    <w:rsid w:val="00AF4F09"/>
    <w:rsid w:val="00B029F1"/>
    <w:rsid w:val="00B0679D"/>
    <w:rsid w:val="00B25743"/>
    <w:rsid w:val="00B34773"/>
    <w:rsid w:val="00B35C7C"/>
    <w:rsid w:val="00B5313E"/>
    <w:rsid w:val="00B732B1"/>
    <w:rsid w:val="00B74EC8"/>
    <w:rsid w:val="00B84357"/>
    <w:rsid w:val="00BA21B2"/>
    <w:rsid w:val="00BA693A"/>
    <w:rsid w:val="00BB021C"/>
    <w:rsid w:val="00BB58C7"/>
    <w:rsid w:val="00BD75BB"/>
    <w:rsid w:val="00C00FE4"/>
    <w:rsid w:val="00C04FEA"/>
    <w:rsid w:val="00C10AC9"/>
    <w:rsid w:val="00C27F5E"/>
    <w:rsid w:val="00C313E7"/>
    <w:rsid w:val="00C4505E"/>
    <w:rsid w:val="00C46D86"/>
    <w:rsid w:val="00C63BAD"/>
    <w:rsid w:val="00C70320"/>
    <w:rsid w:val="00C862E1"/>
    <w:rsid w:val="00C87A32"/>
    <w:rsid w:val="00C9341B"/>
    <w:rsid w:val="00CA55D8"/>
    <w:rsid w:val="00CC16C8"/>
    <w:rsid w:val="00CE3C01"/>
    <w:rsid w:val="00CE6502"/>
    <w:rsid w:val="00D040A7"/>
    <w:rsid w:val="00D06B1C"/>
    <w:rsid w:val="00D36C07"/>
    <w:rsid w:val="00D40725"/>
    <w:rsid w:val="00D41E5C"/>
    <w:rsid w:val="00D5013F"/>
    <w:rsid w:val="00D609E3"/>
    <w:rsid w:val="00D74E7A"/>
    <w:rsid w:val="00DA131B"/>
    <w:rsid w:val="00DC1DA9"/>
    <w:rsid w:val="00DC24AA"/>
    <w:rsid w:val="00DC762E"/>
    <w:rsid w:val="00DE7EEC"/>
    <w:rsid w:val="00DF45FF"/>
    <w:rsid w:val="00DF6ADD"/>
    <w:rsid w:val="00DF7986"/>
    <w:rsid w:val="00E17308"/>
    <w:rsid w:val="00E209FB"/>
    <w:rsid w:val="00E21896"/>
    <w:rsid w:val="00E354C6"/>
    <w:rsid w:val="00E54465"/>
    <w:rsid w:val="00E756B4"/>
    <w:rsid w:val="00E86F72"/>
    <w:rsid w:val="00E95115"/>
    <w:rsid w:val="00EB4144"/>
    <w:rsid w:val="00ED7546"/>
    <w:rsid w:val="00EE1029"/>
    <w:rsid w:val="00EE330E"/>
    <w:rsid w:val="00EE3A9C"/>
    <w:rsid w:val="00F003F5"/>
    <w:rsid w:val="00F11E73"/>
    <w:rsid w:val="00F277F5"/>
    <w:rsid w:val="00F578B9"/>
    <w:rsid w:val="00F6273F"/>
    <w:rsid w:val="00F632D1"/>
    <w:rsid w:val="00F873BC"/>
    <w:rsid w:val="00FA7373"/>
    <w:rsid w:val="00FB5F24"/>
    <w:rsid w:val="00FC1272"/>
    <w:rsid w:val="00FE3AE5"/>
    <w:rsid w:val="00FF2131"/>
    <w:rsid w:val="00FF7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165D6"/>
  <w15:chartTrackingRefBased/>
  <w15:docId w15:val="{CC87C0F4-F1A4-4004-BE56-24C82B72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204E9B"/>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319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C2A43"/>
    <w:pPr>
      <w:ind w:left="720"/>
      <w:contextualSpacing/>
    </w:pPr>
  </w:style>
  <w:style w:type="paragraph" w:styleId="Quote">
    <w:name w:val="Quote"/>
    <w:basedOn w:val="Normal"/>
    <w:link w:val="QuoteChar"/>
    <w:uiPriority w:val="29"/>
    <w:qFormat/>
    <w:rsid w:val="00AC2A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QuoteChar">
    <w:name w:val="Quote Char"/>
    <w:basedOn w:val="DefaultParagraphFont"/>
    <w:link w:val="Quote"/>
    <w:uiPriority w:val="29"/>
    <w:rsid w:val="00AC2A43"/>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C2A43"/>
    <w:rPr>
      <w:b/>
      <w:bCs/>
    </w:rPr>
  </w:style>
  <w:style w:type="character" w:styleId="Emphasis">
    <w:name w:val="Emphasis"/>
    <w:basedOn w:val="DefaultParagraphFont"/>
    <w:uiPriority w:val="20"/>
    <w:qFormat/>
    <w:rsid w:val="00AC2A43"/>
    <w:rPr>
      <w:i/>
      <w:iCs/>
    </w:rPr>
  </w:style>
  <w:style w:type="character" w:styleId="Hyperlink">
    <w:name w:val="Hyperlink"/>
    <w:basedOn w:val="DefaultParagraphFont"/>
    <w:uiPriority w:val="99"/>
    <w:unhideWhenUsed/>
    <w:rsid w:val="00AC2A43"/>
    <w:rPr>
      <w:color w:val="0000FF"/>
      <w:u w:val="single"/>
    </w:rPr>
  </w:style>
  <w:style w:type="paragraph" w:customStyle="1" w:styleId="paranonumber">
    <w:name w:val="paranonumber"/>
    <w:basedOn w:val="Normal"/>
    <w:rsid w:val="00AC26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B5F2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5F2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B5F24"/>
    <w:rPr>
      <w:sz w:val="16"/>
      <w:szCs w:val="16"/>
    </w:rPr>
  </w:style>
  <w:style w:type="paragraph" w:styleId="CommentText">
    <w:name w:val="annotation text"/>
    <w:basedOn w:val="Normal"/>
    <w:link w:val="CommentTextChar"/>
    <w:uiPriority w:val="99"/>
    <w:semiHidden/>
    <w:unhideWhenUsed/>
    <w:rsid w:val="00FB5F24"/>
    <w:pPr>
      <w:spacing w:line="240" w:lineRule="auto"/>
    </w:pPr>
    <w:rPr>
      <w:sz w:val="20"/>
      <w:szCs w:val="20"/>
    </w:rPr>
  </w:style>
  <w:style w:type="character" w:customStyle="1" w:styleId="CommentTextChar">
    <w:name w:val="Comment Text Char"/>
    <w:basedOn w:val="DefaultParagraphFont"/>
    <w:link w:val="CommentText"/>
    <w:uiPriority w:val="99"/>
    <w:semiHidden/>
    <w:rsid w:val="00FB5F24"/>
    <w:rPr>
      <w:sz w:val="20"/>
      <w:szCs w:val="20"/>
    </w:rPr>
  </w:style>
  <w:style w:type="paragraph" w:styleId="CommentSubject">
    <w:name w:val="annotation subject"/>
    <w:basedOn w:val="CommentText"/>
    <w:next w:val="CommentText"/>
    <w:link w:val="CommentSubjectChar"/>
    <w:uiPriority w:val="99"/>
    <w:semiHidden/>
    <w:unhideWhenUsed/>
    <w:rsid w:val="00FB5F24"/>
    <w:rPr>
      <w:b/>
      <w:bCs/>
    </w:rPr>
  </w:style>
  <w:style w:type="character" w:customStyle="1" w:styleId="CommentSubjectChar">
    <w:name w:val="Comment Subject Char"/>
    <w:basedOn w:val="CommentTextChar"/>
    <w:link w:val="CommentSubject"/>
    <w:uiPriority w:val="99"/>
    <w:semiHidden/>
    <w:rsid w:val="00FB5F24"/>
    <w:rPr>
      <w:b/>
      <w:bCs/>
      <w:sz w:val="20"/>
      <w:szCs w:val="20"/>
    </w:rPr>
  </w:style>
  <w:style w:type="paragraph" w:styleId="FootnoteText">
    <w:name w:val="footnote text"/>
    <w:aliases w:val="Char,Footnote Text1,Footnote Text Char Char Char Char Char,Footnote Text Char Char Char Char,Footnote reference,FA Fu,Footnote Text Char Char Char,Footnote Text Cha,FA Fußnotentext,FA Fuﬂnotentext,Texto nota pie Car,Footnote Text Char Char"/>
    <w:basedOn w:val="Normal"/>
    <w:link w:val="FootnoteTextChar"/>
    <w:uiPriority w:val="99"/>
    <w:qFormat/>
    <w:rsid w:val="00BA693A"/>
    <w:pPr>
      <w:spacing w:after="0" w:line="240" w:lineRule="auto"/>
      <w:ind w:left="-380"/>
    </w:pPr>
    <w:rPr>
      <w:rFonts w:ascii="Times New Roman" w:eastAsia="Times New Roman" w:hAnsi="Times New Roman" w:cs="Times New Roman"/>
      <w:sz w:val="20"/>
      <w:szCs w:val="20"/>
      <w:lang w:val="en-US"/>
    </w:rPr>
  </w:style>
  <w:style w:type="character" w:customStyle="1" w:styleId="FootnoteTextChar">
    <w:name w:val="Footnote Text Char"/>
    <w:aliases w:val="Char Char,Footnote Text1 Char,Footnote Text Char Char Char Char Char Char,Footnote Text Char Char Char Char Char1,Footnote reference Char,FA Fu Char,Footnote Text Char Char Char Char1,Footnote Text Cha Char,FA Fußnotentext Char"/>
    <w:basedOn w:val="DefaultParagraphFont"/>
    <w:link w:val="FootnoteText"/>
    <w:uiPriority w:val="99"/>
    <w:rsid w:val="00BA693A"/>
    <w:rPr>
      <w:rFonts w:ascii="Times New Roman" w:eastAsia="Times New Roman" w:hAnsi="Times New Roman" w:cs="Times New Roman"/>
      <w:sz w:val="20"/>
      <w:szCs w:val="20"/>
      <w:lang w:val="en-US"/>
    </w:rPr>
  </w:style>
  <w:style w:type="character" w:styleId="FootnoteReference">
    <w:name w:val="footnote reference"/>
    <w:aliases w:val="Ref,de nota al pie,Texto de nota al pie,Appel note de bas de page,Footnotes refss,f,Footnote Reference1,4_G,ftref,Footnote Reference1 Char,ftref Char,Char Char Char,Footnote Text Char2 Char,Footnote Text Char1 Char Char,ft Char1 Char"/>
    <w:basedOn w:val="DefaultParagraphFont"/>
    <w:link w:val="Char2"/>
    <w:uiPriority w:val="99"/>
    <w:qFormat/>
    <w:rsid w:val="00BA693A"/>
    <w:rPr>
      <w:vertAlign w:val="superscript"/>
    </w:rPr>
  </w:style>
  <w:style w:type="paragraph" w:customStyle="1" w:styleId="Char2">
    <w:name w:val="Char2"/>
    <w:basedOn w:val="Normal"/>
    <w:link w:val="FootnoteReference"/>
    <w:rsid w:val="00BA693A"/>
    <w:pPr>
      <w:spacing w:line="240" w:lineRule="exact"/>
    </w:pPr>
    <w:rPr>
      <w:vertAlign w:val="superscript"/>
    </w:rPr>
  </w:style>
  <w:style w:type="character" w:customStyle="1" w:styleId="Heading2Char">
    <w:name w:val="Heading 2 Char"/>
    <w:basedOn w:val="DefaultParagraphFont"/>
    <w:link w:val="Heading2"/>
    <w:rsid w:val="00204E9B"/>
    <w:rPr>
      <w:rFonts w:asciiTheme="majorHAnsi" w:eastAsiaTheme="majorEastAsia" w:hAnsiTheme="majorHAnsi" w:cstheme="majorBidi"/>
      <w:color w:val="2F5496" w:themeColor="accent1" w:themeShade="BF"/>
      <w:sz w:val="26"/>
      <w:szCs w:val="26"/>
    </w:rPr>
  </w:style>
  <w:style w:type="paragraph" w:customStyle="1" w:styleId="Default">
    <w:name w:val="Default"/>
    <w:rsid w:val="00B732B1"/>
    <w:pPr>
      <w:spacing w:after="0" w:line="240" w:lineRule="auto"/>
    </w:pPr>
    <w:rPr>
      <w:rFonts w:ascii="Helvetica Neue" w:eastAsia="Arial Unicode MS" w:hAnsi="Helvetica Neue" w:cs="Arial Unicode MS"/>
      <w:color w:val="000000"/>
      <w:lang w:val="en-US"/>
    </w:rPr>
  </w:style>
  <w:style w:type="paragraph" w:styleId="BodyText2">
    <w:name w:val="Body Text 2"/>
    <w:basedOn w:val="Normal"/>
    <w:link w:val="BodyText2Char"/>
    <w:unhideWhenUsed/>
    <w:rsid w:val="00251FCC"/>
    <w:pPr>
      <w:spacing w:after="0" w:line="240" w:lineRule="auto"/>
    </w:pPr>
    <w:rPr>
      <w:rFonts w:ascii="Times New Roman" w:eastAsia="Times New Roman" w:hAnsi="Times New Roman" w:cs="Times New Roman"/>
      <w:sz w:val="28"/>
      <w:szCs w:val="20"/>
      <w:lang w:val="en-US"/>
    </w:rPr>
  </w:style>
  <w:style w:type="character" w:customStyle="1" w:styleId="BodyText2Char">
    <w:name w:val="Body Text 2 Char"/>
    <w:basedOn w:val="DefaultParagraphFont"/>
    <w:link w:val="BodyText2"/>
    <w:rsid w:val="00251FCC"/>
    <w:rPr>
      <w:rFonts w:ascii="Times New Roman" w:eastAsia="Times New Roman" w:hAnsi="Times New Roman" w:cs="Times New Roman"/>
      <w:sz w:val="28"/>
      <w:szCs w:val="20"/>
      <w:lang w:val="en-US"/>
    </w:rPr>
  </w:style>
  <w:style w:type="paragraph" w:styleId="Footer">
    <w:name w:val="footer"/>
    <w:basedOn w:val="Normal"/>
    <w:link w:val="FooterChar"/>
    <w:uiPriority w:val="99"/>
    <w:unhideWhenUsed/>
    <w:rsid w:val="00C63BAD"/>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C63BAD"/>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7319F7"/>
    <w:rPr>
      <w:rFonts w:asciiTheme="majorHAnsi" w:eastAsiaTheme="majorEastAsia" w:hAnsiTheme="majorHAnsi" w:cstheme="majorBidi"/>
      <w:color w:val="1F3763" w:themeColor="accent1" w:themeShade="7F"/>
      <w:sz w:val="24"/>
      <w:szCs w:val="24"/>
    </w:rPr>
  </w:style>
  <w:style w:type="character" w:styleId="PageNumber">
    <w:name w:val="page number"/>
    <w:basedOn w:val="DefaultParagraphFont"/>
    <w:uiPriority w:val="99"/>
    <w:semiHidden/>
    <w:unhideWhenUsed/>
    <w:rsid w:val="00C87A32"/>
  </w:style>
  <w:style w:type="paragraph" w:styleId="NormalWeb">
    <w:name w:val="Normal (Web)"/>
    <w:basedOn w:val="Normal"/>
    <w:uiPriority w:val="99"/>
    <w:semiHidden/>
    <w:unhideWhenUsed/>
    <w:rsid w:val="000A3D2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1A3A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A3A3C"/>
    <w:rPr>
      <w:sz w:val="20"/>
      <w:szCs w:val="20"/>
    </w:rPr>
  </w:style>
  <w:style w:type="character" w:styleId="EndnoteReference">
    <w:name w:val="endnote reference"/>
    <w:basedOn w:val="DefaultParagraphFont"/>
    <w:uiPriority w:val="99"/>
    <w:semiHidden/>
    <w:unhideWhenUsed/>
    <w:rsid w:val="001A3A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234342">
      <w:bodyDiv w:val="1"/>
      <w:marLeft w:val="0"/>
      <w:marRight w:val="0"/>
      <w:marTop w:val="0"/>
      <w:marBottom w:val="0"/>
      <w:divBdr>
        <w:top w:val="none" w:sz="0" w:space="0" w:color="auto"/>
        <w:left w:val="none" w:sz="0" w:space="0" w:color="auto"/>
        <w:bottom w:val="none" w:sz="0" w:space="0" w:color="auto"/>
        <w:right w:val="none" w:sz="0" w:space="0" w:color="auto"/>
      </w:divBdr>
      <w:divsChild>
        <w:div w:id="1538349216">
          <w:marLeft w:val="0"/>
          <w:marRight w:val="0"/>
          <w:marTop w:val="0"/>
          <w:marBottom w:val="0"/>
          <w:divBdr>
            <w:top w:val="none" w:sz="0" w:space="0" w:color="auto"/>
            <w:left w:val="none" w:sz="0" w:space="0" w:color="auto"/>
            <w:bottom w:val="none" w:sz="0" w:space="0" w:color="auto"/>
            <w:right w:val="none" w:sz="0" w:space="0" w:color="auto"/>
          </w:divBdr>
          <w:divsChild>
            <w:div w:id="476143812">
              <w:marLeft w:val="0"/>
              <w:marRight w:val="0"/>
              <w:marTop w:val="0"/>
              <w:marBottom w:val="0"/>
              <w:divBdr>
                <w:top w:val="none" w:sz="0" w:space="0" w:color="auto"/>
                <w:left w:val="none" w:sz="0" w:space="0" w:color="auto"/>
                <w:bottom w:val="none" w:sz="0" w:space="0" w:color="auto"/>
                <w:right w:val="none" w:sz="0" w:space="0" w:color="auto"/>
              </w:divBdr>
              <w:divsChild>
                <w:div w:id="87700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73729">
      <w:bodyDiv w:val="1"/>
      <w:marLeft w:val="0"/>
      <w:marRight w:val="0"/>
      <w:marTop w:val="0"/>
      <w:marBottom w:val="0"/>
      <w:divBdr>
        <w:top w:val="none" w:sz="0" w:space="0" w:color="auto"/>
        <w:left w:val="none" w:sz="0" w:space="0" w:color="auto"/>
        <w:bottom w:val="none" w:sz="0" w:space="0" w:color="auto"/>
        <w:right w:val="none" w:sz="0" w:space="0" w:color="auto"/>
      </w:divBdr>
    </w:div>
    <w:div w:id="548762348">
      <w:bodyDiv w:val="1"/>
      <w:marLeft w:val="0"/>
      <w:marRight w:val="0"/>
      <w:marTop w:val="0"/>
      <w:marBottom w:val="0"/>
      <w:divBdr>
        <w:top w:val="none" w:sz="0" w:space="0" w:color="auto"/>
        <w:left w:val="none" w:sz="0" w:space="0" w:color="auto"/>
        <w:bottom w:val="none" w:sz="0" w:space="0" w:color="auto"/>
        <w:right w:val="none" w:sz="0" w:space="0" w:color="auto"/>
      </w:divBdr>
    </w:div>
    <w:div w:id="640695574">
      <w:bodyDiv w:val="1"/>
      <w:marLeft w:val="0"/>
      <w:marRight w:val="0"/>
      <w:marTop w:val="0"/>
      <w:marBottom w:val="0"/>
      <w:divBdr>
        <w:top w:val="none" w:sz="0" w:space="0" w:color="auto"/>
        <w:left w:val="none" w:sz="0" w:space="0" w:color="auto"/>
        <w:bottom w:val="none" w:sz="0" w:space="0" w:color="auto"/>
        <w:right w:val="none" w:sz="0" w:space="0" w:color="auto"/>
      </w:divBdr>
    </w:div>
    <w:div w:id="1117333971">
      <w:bodyDiv w:val="1"/>
      <w:marLeft w:val="0"/>
      <w:marRight w:val="0"/>
      <w:marTop w:val="0"/>
      <w:marBottom w:val="0"/>
      <w:divBdr>
        <w:top w:val="none" w:sz="0" w:space="0" w:color="auto"/>
        <w:left w:val="none" w:sz="0" w:space="0" w:color="auto"/>
        <w:bottom w:val="none" w:sz="0" w:space="0" w:color="auto"/>
        <w:right w:val="none" w:sz="0" w:space="0" w:color="auto"/>
      </w:divBdr>
    </w:div>
    <w:div w:id="1303660558">
      <w:bodyDiv w:val="1"/>
      <w:marLeft w:val="0"/>
      <w:marRight w:val="0"/>
      <w:marTop w:val="0"/>
      <w:marBottom w:val="0"/>
      <w:divBdr>
        <w:top w:val="none" w:sz="0" w:space="0" w:color="auto"/>
        <w:left w:val="none" w:sz="0" w:space="0" w:color="auto"/>
        <w:bottom w:val="none" w:sz="0" w:space="0" w:color="auto"/>
        <w:right w:val="none" w:sz="0" w:space="0" w:color="auto"/>
      </w:divBdr>
    </w:div>
    <w:div w:id="1659074646">
      <w:bodyDiv w:val="1"/>
      <w:marLeft w:val="0"/>
      <w:marRight w:val="0"/>
      <w:marTop w:val="0"/>
      <w:marBottom w:val="0"/>
      <w:divBdr>
        <w:top w:val="none" w:sz="0" w:space="0" w:color="auto"/>
        <w:left w:val="none" w:sz="0" w:space="0" w:color="auto"/>
        <w:bottom w:val="none" w:sz="0" w:space="0" w:color="auto"/>
        <w:right w:val="none" w:sz="0" w:space="0" w:color="auto"/>
      </w:divBdr>
    </w:div>
    <w:div w:id="1674524462">
      <w:bodyDiv w:val="1"/>
      <w:marLeft w:val="0"/>
      <w:marRight w:val="0"/>
      <w:marTop w:val="0"/>
      <w:marBottom w:val="0"/>
      <w:divBdr>
        <w:top w:val="none" w:sz="0" w:space="0" w:color="auto"/>
        <w:left w:val="none" w:sz="0" w:space="0" w:color="auto"/>
        <w:bottom w:val="none" w:sz="0" w:space="0" w:color="auto"/>
        <w:right w:val="none" w:sz="0" w:space="0" w:color="auto"/>
      </w:divBdr>
    </w:div>
    <w:div w:id="1694259451">
      <w:bodyDiv w:val="1"/>
      <w:marLeft w:val="0"/>
      <w:marRight w:val="0"/>
      <w:marTop w:val="0"/>
      <w:marBottom w:val="0"/>
      <w:divBdr>
        <w:top w:val="none" w:sz="0" w:space="0" w:color="auto"/>
        <w:left w:val="none" w:sz="0" w:space="0" w:color="auto"/>
        <w:bottom w:val="none" w:sz="0" w:space="0" w:color="auto"/>
        <w:right w:val="none" w:sz="0" w:space="0" w:color="auto"/>
      </w:divBdr>
    </w:div>
    <w:div w:id="1943340219">
      <w:bodyDiv w:val="1"/>
      <w:marLeft w:val="0"/>
      <w:marRight w:val="0"/>
      <w:marTop w:val="0"/>
      <w:marBottom w:val="0"/>
      <w:divBdr>
        <w:top w:val="none" w:sz="0" w:space="0" w:color="auto"/>
        <w:left w:val="none" w:sz="0" w:space="0" w:color="auto"/>
        <w:bottom w:val="none" w:sz="0" w:space="0" w:color="auto"/>
        <w:right w:val="none" w:sz="0" w:space="0" w:color="auto"/>
      </w:divBdr>
    </w:div>
    <w:div w:id="1952471298">
      <w:bodyDiv w:val="1"/>
      <w:marLeft w:val="0"/>
      <w:marRight w:val="0"/>
      <w:marTop w:val="0"/>
      <w:marBottom w:val="0"/>
      <w:divBdr>
        <w:top w:val="none" w:sz="0" w:space="0" w:color="auto"/>
        <w:left w:val="none" w:sz="0" w:space="0" w:color="auto"/>
        <w:bottom w:val="none" w:sz="0" w:space="0" w:color="auto"/>
        <w:right w:val="none" w:sz="0" w:space="0" w:color="auto"/>
      </w:divBdr>
    </w:div>
    <w:div w:id="1954089796">
      <w:bodyDiv w:val="1"/>
      <w:marLeft w:val="0"/>
      <w:marRight w:val="0"/>
      <w:marTop w:val="0"/>
      <w:marBottom w:val="0"/>
      <w:divBdr>
        <w:top w:val="none" w:sz="0" w:space="0" w:color="auto"/>
        <w:left w:val="none" w:sz="0" w:space="0" w:color="auto"/>
        <w:bottom w:val="none" w:sz="0" w:space="0" w:color="auto"/>
        <w:right w:val="none" w:sz="0" w:space="0" w:color="auto"/>
      </w:divBdr>
    </w:div>
    <w:div w:id="2013802131">
      <w:bodyDiv w:val="1"/>
      <w:marLeft w:val="0"/>
      <w:marRight w:val="0"/>
      <w:marTop w:val="0"/>
      <w:marBottom w:val="0"/>
      <w:divBdr>
        <w:top w:val="none" w:sz="0" w:space="0" w:color="auto"/>
        <w:left w:val="none" w:sz="0" w:space="0" w:color="auto"/>
        <w:bottom w:val="none" w:sz="0" w:space="0" w:color="auto"/>
        <w:right w:val="none" w:sz="0" w:space="0" w:color="auto"/>
      </w:divBdr>
    </w:div>
    <w:div w:id="2034332271">
      <w:bodyDiv w:val="1"/>
      <w:marLeft w:val="0"/>
      <w:marRight w:val="0"/>
      <w:marTop w:val="0"/>
      <w:marBottom w:val="0"/>
      <w:divBdr>
        <w:top w:val="none" w:sz="0" w:space="0" w:color="auto"/>
        <w:left w:val="none" w:sz="0" w:space="0" w:color="auto"/>
        <w:bottom w:val="none" w:sz="0" w:space="0" w:color="auto"/>
        <w:right w:val="none" w:sz="0" w:space="0" w:color="auto"/>
      </w:divBdr>
      <w:divsChild>
        <w:div w:id="1155295843">
          <w:marLeft w:val="0"/>
          <w:marRight w:val="0"/>
          <w:marTop w:val="0"/>
          <w:marBottom w:val="0"/>
          <w:divBdr>
            <w:top w:val="none" w:sz="0" w:space="0" w:color="auto"/>
            <w:left w:val="none" w:sz="0" w:space="0" w:color="auto"/>
            <w:bottom w:val="none" w:sz="0" w:space="0" w:color="auto"/>
            <w:right w:val="none" w:sz="0" w:space="0" w:color="auto"/>
          </w:divBdr>
          <w:divsChild>
            <w:div w:id="1728213482">
              <w:marLeft w:val="0"/>
              <w:marRight w:val="0"/>
              <w:marTop w:val="0"/>
              <w:marBottom w:val="0"/>
              <w:divBdr>
                <w:top w:val="none" w:sz="0" w:space="0" w:color="auto"/>
                <w:left w:val="none" w:sz="0" w:space="0" w:color="auto"/>
                <w:bottom w:val="none" w:sz="0" w:space="0" w:color="auto"/>
                <w:right w:val="none" w:sz="0" w:space="0" w:color="auto"/>
              </w:divBdr>
              <w:divsChild>
                <w:div w:id="14881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0D7BB-5D15-41F5-A012-9848DA0DA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5724</Words>
  <Characters>32627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Chinkin,C</dc:creator>
  <cp:keywords/>
  <dc:description/>
  <cp:lastModifiedBy>Arimatsu,L</cp:lastModifiedBy>
  <cp:revision>2</cp:revision>
  <dcterms:created xsi:type="dcterms:W3CDTF">2024-05-23T12:34:00Z</dcterms:created>
  <dcterms:modified xsi:type="dcterms:W3CDTF">2024-05-23T12:34:00Z</dcterms:modified>
</cp:coreProperties>
</file>