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D29" w:rsidRPr="00684588" w:rsidRDefault="00684588">
      <w:pPr>
        <w:rPr>
          <w:b/>
          <w:sz w:val="24"/>
          <w:u w:val="single"/>
        </w:rPr>
      </w:pPr>
      <w:r w:rsidRPr="00684588">
        <w:rPr>
          <w:b/>
          <w:sz w:val="24"/>
          <w:u w:val="single"/>
        </w:rPr>
        <w:t>Parallels and Contrasts</w:t>
      </w:r>
    </w:p>
    <w:p w:rsidR="002D6D29" w:rsidRDefault="002D6D29"/>
    <w:p w:rsidR="002D6D29" w:rsidRDefault="00684588">
      <w:r>
        <w:t>Victor and his C</w:t>
      </w:r>
      <w:r>
        <w:t>reature both begin their narratives by sharing their early life and experiences. These share some similarities, but also some very clear differences. Exploring these contrasts can help students to understand each characters’ motivations and</w:t>
      </w:r>
      <w:r>
        <w:t xml:space="preserve"> their relationship with the world. </w:t>
      </w:r>
    </w:p>
    <w:p w:rsidR="002D6D29" w:rsidRDefault="002D6D29"/>
    <w:p w:rsidR="002D6D29" w:rsidRDefault="00684588">
      <w:r>
        <w:t xml:space="preserve">Top tip: part of this could be completed as a retrieval exercise, or could be completed as teachers explore the texts with students. </w:t>
      </w:r>
    </w:p>
    <w:p w:rsidR="002D6D29" w:rsidRDefault="002D6D29"/>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240"/>
        <w:gridCol w:w="3240"/>
      </w:tblGrid>
      <w:tr w:rsidR="002D6D29">
        <w:tc>
          <w:tcPr>
            <w:tcW w:w="3240" w:type="dxa"/>
            <w:shd w:val="clear" w:color="auto" w:fill="auto"/>
            <w:tcMar>
              <w:top w:w="100" w:type="dxa"/>
              <w:left w:w="100" w:type="dxa"/>
              <w:bottom w:w="100" w:type="dxa"/>
              <w:right w:w="100" w:type="dxa"/>
            </w:tcMar>
          </w:tcPr>
          <w:p w:rsidR="002D6D29" w:rsidRDefault="002D6D29">
            <w:pPr>
              <w:widowControl w:val="0"/>
              <w:spacing w:line="240" w:lineRule="auto"/>
            </w:pPr>
            <w:bookmarkStart w:id="0" w:name="_GoBack"/>
            <w:bookmarkEnd w:id="0"/>
          </w:p>
        </w:tc>
        <w:tc>
          <w:tcPr>
            <w:tcW w:w="3240" w:type="dxa"/>
            <w:shd w:val="clear" w:color="auto" w:fill="auto"/>
            <w:tcMar>
              <w:top w:w="100" w:type="dxa"/>
              <w:left w:w="100" w:type="dxa"/>
              <w:bottom w:w="100" w:type="dxa"/>
              <w:right w:w="100" w:type="dxa"/>
            </w:tcMar>
          </w:tcPr>
          <w:p w:rsidR="002D6D29" w:rsidRDefault="00684588">
            <w:pPr>
              <w:widowControl w:val="0"/>
              <w:spacing w:line="240" w:lineRule="auto"/>
            </w:pPr>
            <w:r>
              <w:t>Responses to grief</w:t>
            </w:r>
          </w:p>
        </w:tc>
        <w:tc>
          <w:tcPr>
            <w:tcW w:w="3240" w:type="dxa"/>
            <w:shd w:val="clear" w:color="auto" w:fill="auto"/>
            <w:tcMar>
              <w:top w:w="100" w:type="dxa"/>
              <w:left w:w="100" w:type="dxa"/>
              <w:bottom w:w="100" w:type="dxa"/>
              <w:right w:w="100" w:type="dxa"/>
            </w:tcMar>
          </w:tcPr>
          <w:p w:rsidR="002D6D29" w:rsidRDefault="00684588">
            <w:pPr>
              <w:widowControl w:val="0"/>
              <w:spacing w:line="240" w:lineRule="auto"/>
            </w:pPr>
            <w:r>
              <w:t>What they do to seek revenge</w:t>
            </w:r>
          </w:p>
        </w:tc>
        <w:tc>
          <w:tcPr>
            <w:tcW w:w="3240" w:type="dxa"/>
            <w:shd w:val="clear" w:color="auto" w:fill="auto"/>
            <w:tcMar>
              <w:top w:w="100" w:type="dxa"/>
              <w:left w:w="100" w:type="dxa"/>
              <w:bottom w:w="100" w:type="dxa"/>
              <w:right w:w="100" w:type="dxa"/>
            </w:tcMar>
          </w:tcPr>
          <w:p w:rsidR="002D6D29" w:rsidRDefault="00684588">
            <w:pPr>
              <w:widowControl w:val="0"/>
              <w:spacing w:line="240" w:lineRule="auto"/>
            </w:pPr>
            <w:r>
              <w:t>Ways they seek justice? Where hav</w:t>
            </w:r>
            <w:r>
              <w:t xml:space="preserve">e we seen this earlier in the text? </w:t>
            </w:r>
          </w:p>
        </w:tc>
      </w:tr>
      <w:tr w:rsidR="002D6D29">
        <w:trPr>
          <w:trHeight w:val="2415"/>
        </w:trPr>
        <w:tc>
          <w:tcPr>
            <w:tcW w:w="3240" w:type="dxa"/>
            <w:shd w:val="clear" w:color="auto" w:fill="auto"/>
            <w:tcMar>
              <w:top w:w="100" w:type="dxa"/>
              <w:left w:w="100" w:type="dxa"/>
              <w:bottom w:w="100" w:type="dxa"/>
              <w:right w:w="100" w:type="dxa"/>
            </w:tcMar>
          </w:tcPr>
          <w:p w:rsidR="002D6D29" w:rsidRDefault="00684588">
            <w:pPr>
              <w:widowControl w:val="0"/>
              <w:spacing w:line="240" w:lineRule="auto"/>
            </w:pPr>
            <w:r>
              <w:t>Victor</w:t>
            </w:r>
          </w:p>
        </w:tc>
        <w:tc>
          <w:tcPr>
            <w:tcW w:w="3240" w:type="dxa"/>
            <w:shd w:val="clear" w:color="auto" w:fill="auto"/>
            <w:tcMar>
              <w:top w:w="100" w:type="dxa"/>
              <w:left w:w="100" w:type="dxa"/>
              <w:bottom w:w="100" w:type="dxa"/>
              <w:right w:w="100" w:type="dxa"/>
            </w:tcMar>
          </w:tcPr>
          <w:p w:rsidR="002D6D29" w:rsidRDefault="002D6D29">
            <w:pPr>
              <w:widowControl w:val="0"/>
              <w:spacing w:line="240" w:lineRule="auto"/>
            </w:pPr>
          </w:p>
        </w:tc>
        <w:tc>
          <w:tcPr>
            <w:tcW w:w="3240" w:type="dxa"/>
            <w:shd w:val="clear" w:color="auto" w:fill="auto"/>
            <w:tcMar>
              <w:top w:w="100" w:type="dxa"/>
              <w:left w:w="100" w:type="dxa"/>
              <w:bottom w:w="100" w:type="dxa"/>
              <w:right w:w="100" w:type="dxa"/>
            </w:tcMar>
          </w:tcPr>
          <w:p w:rsidR="002D6D29" w:rsidRDefault="002D6D29">
            <w:pPr>
              <w:widowControl w:val="0"/>
              <w:spacing w:line="240" w:lineRule="auto"/>
            </w:pPr>
          </w:p>
        </w:tc>
        <w:tc>
          <w:tcPr>
            <w:tcW w:w="3240" w:type="dxa"/>
            <w:shd w:val="clear" w:color="auto" w:fill="auto"/>
            <w:tcMar>
              <w:top w:w="100" w:type="dxa"/>
              <w:left w:w="100" w:type="dxa"/>
              <w:bottom w:w="100" w:type="dxa"/>
              <w:right w:w="100" w:type="dxa"/>
            </w:tcMar>
          </w:tcPr>
          <w:p w:rsidR="002D6D29" w:rsidRDefault="002D6D29">
            <w:pPr>
              <w:widowControl w:val="0"/>
              <w:spacing w:line="240" w:lineRule="auto"/>
            </w:pPr>
          </w:p>
        </w:tc>
      </w:tr>
      <w:tr w:rsidR="002D6D29">
        <w:trPr>
          <w:trHeight w:val="2625"/>
        </w:trPr>
        <w:tc>
          <w:tcPr>
            <w:tcW w:w="3240" w:type="dxa"/>
            <w:shd w:val="clear" w:color="auto" w:fill="auto"/>
            <w:tcMar>
              <w:top w:w="100" w:type="dxa"/>
              <w:left w:w="100" w:type="dxa"/>
              <w:bottom w:w="100" w:type="dxa"/>
              <w:right w:w="100" w:type="dxa"/>
            </w:tcMar>
          </w:tcPr>
          <w:p w:rsidR="002D6D29" w:rsidRDefault="00684588">
            <w:pPr>
              <w:widowControl w:val="0"/>
              <w:spacing w:line="240" w:lineRule="auto"/>
            </w:pPr>
            <w:r>
              <w:t>Creature</w:t>
            </w:r>
          </w:p>
        </w:tc>
        <w:tc>
          <w:tcPr>
            <w:tcW w:w="3240" w:type="dxa"/>
            <w:shd w:val="clear" w:color="auto" w:fill="auto"/>
            <w:tcMar>
              <w:top w:w="100" w:type="dxa"/>
              <w:left w:w="100" w:type="dxa"/>
              <w:bottom w:w="100" w:type="dxa"/>
              <w:right w:w="100" w:type="dxa"/>
            </w:tcMar>
          </w:tcPr>
          <w:p w:rsidR="002D6D29" w:rsidRDefault="002D6D29">
            <w:pPr>
              <w:widowControl w:val="0"/>
              <w:spacing w:line="240" w:lineRule="auto"/>
            </w:pPr>
          </w:p>
        </w:tc>
        <w:tc>
          <w:tcPr>
            <w:tcW w:w="3240" w:type="dxa"/>
            <w:shd w:val="clear" w:color="auto" w:fill="auto"/>
            <w:tcMar>
              <w:top w:w="100" w:type="dxa"/>
              <w:left w:w="100" w:type="dxa"/>
              <w:bottom w:w="100" w:type="dxa"/>
              <w:right w:w="100" w:type="dxa"/>
            </w:tcMar>
          </w:tcPr>
          <w:p w:rsidR="002D6D29" w:rsidRDefault="002D6D29">
            <w:pPr>
              <w:widowControl w:val="0"/>
              <w:spacing w:line="240" w:lineRule="auto"/>
            </w:pPr>
          </w:p>
        </w:tc>
        <w:tc>
          <w:tcPr>
            <w:tcW w:w="3240" w:type="dxa"/>
            <w:shd w:val="clear" w:color="auto" w:fill="auto"/>
            <w:tcMar>
              <w:top w:w="100" w:type="dxa"/>
              <w:left w:w="100" w:type="dxa"/>
              <w:bottom w:w="100" w:type="dxa"/>
              <w:right w:w="100" w:type="dxa"/>
            </w:tcMar>
          </w:tcPr>
          <w:p w:rsidR="002D6D29" w:rsidRDefault="002D6D29">
            <w:pPr>
              <w:widowControl w:val="0"/>
              <w:spacing w:line="240" w:lineRule="auto"/>
            </w:pPr>
          </w:p>
        </w:tc>
      </w:tr>
    </w:tbl>
    <w:p w:rsidR="002D6D29" w:rsidRDefault="002D6D29" w:rsidP="00684588"/>
    <w:sectPr w:rsidR="002D6D29">
      <w:footerReference w:type="default" r:id="rId6"/>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588" w:rsidRDefault="00684588" w:rsidP="00684588">
      <w:pPr>
        <w:spacing w:line="240" w:lineRule="auto"/>
      </w:pPr>
      <w:r>
        <w:separator/>
      </w:r>
    </w:p>
  </w:endnote>
  <w:endnote w:type="continuationSeparator" w:id="0">
    <w:p w:rsidR="00684588" w:rsidRDefault="00684588" w:rsidP="00684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588" w:rsidRPr="0024114B" w:rsidRDefault="00684588" w:rsidP="00684588">
    <w:pPr>
      <w:pStyle w:val="Footer"/>
      <w:jc w:val="right"/>
      <w:rPr>
        <w:lang w:val="en-GB"/>
      </w:rPr>
    </w:pPr>
    <w:bookmarkStart w:id="1" w:name="_Hlk200715602"/>
    <w:bookmarkStart w:id="2" w:name="_Hlk200715603"/>
    <w:r w:rsidRPr="0024114B">
      <w:rPr>
        <w:lang w:val="en-GB"/>
      </w:rPr>
      <w:t>© Fe Brewer, Mary Hind-</w:t>
    </w:r>
    <w:proofErr w:type="spellStart"/>
    <w:r w:rsidRPr="0024114B">
      <w:rPr>
        <w:lang w:val="en-GB"/>
      </w:rPr>
      <w:t>Portley</w:t>
    </w:r>
    <w:proofErr w:type="spellEnd"/>
    <w:r w:rsidRPr="0024114B">
      <w:rPr>
        <w:lang w:val="en-GB"/>
      </w:rPr>
      <w:t xml:space="preserve"> and Gwen Nelson</w:t>
    </w:r>
    <w:r>
      <w:rPr>
        <w:lang w:val="en-GB"/>
      </w:rPr>
      <w:t>, 2025</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588" w:rsidRDefault="00684588" w:rsidP="00684588">
      <w:pPr>
        <w:spacing w:line="240" w:lineRule="auto"/>
      </w:pPr>
      <w:r>
        <w:separator/>
      </w:r>
    </w:p>
  </w:footnote>
  <w:footnote w:type="continuationSeparator" w:id="0">
    <w:p w:rsidR="00684588" w:rsidRDefault="00684588" w:rsidP="006845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29"/>
    <w:rsid w:val="002D6D29"/>
    <w:rsid w:val="00684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1A557"/>
  <w15:docId w15:val="{B7CE357D-75C4-4302-939B-A7D67F98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84588"/>
    <w:pPr>
      <w:tabs>
        <w:tab w:val="center" w:pos="4513"/>
        <w:tab w:val="right" w:pos="9026"/>
      </w:tabs>
      <w:spacing w:line="240" w:lineRule="auto"/>
    </w:pPr>
  </w:style>
  <w:style w:type="character" w:customStyle="1" w:styleId="HeaderChar">
    <w:name w:val="Header Char"/>
    <w:basedOn w:val="DefaultParagraphFont"/>
    <w:link w:val="Header"/>
    <w:uiPriority w:val="99"/>
    <w:rsid w:val="00684588"/>
  </w:style>
  <w:style w:type="paragraph" w:styleId="Footer">
    <w:name w:val="footer"/>
    <w:basedOn w:val="Normal"/>
    <w:link w:val="FooterChar"/>
    <w:uiPriority w:val="99"/>
    <w:unhideWhenUsed/>
    <w:rsid w:val="00684588"/>
    <w:pPr>
      <w:tabs>
        <w:tab w:val="center" w:pos="4513"/>
        <w:tab w:val="right" w:pos="9026"/>
      </w:tabs>
      <w:spacing w:line="240" w:lineRule="auto"/>
    </w:pPr>
  </w:style>
  <w:style w:type="character" w:customStyle="1" w:styleId="FooterChar">
    <w:name w:val="Footer Char"/>
    <w:basedOn w:val="DefaultParagraphFont"/>
    <w:link w:val="Footer"/>
    <w:uiPriority w:val="99"/>
    <w:rsid w:val="00684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510</Characters>
  <Application>Microsoft Office Word</Application>
  <DocSecurity>0</DocSecurity>
  <Lines>4</Lines>
  <Paragraphs>1</Paragraphs>
  <ScaleCrop>false</ScaleCrop>
  <Company>Bloomsbury Publishing Plc</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2</cp:revision>
  <dcterms:created xsi:type="dcterms:W3CDTF">2025-06-13T13:15:00Z</dcterms:created>
  <dcterms:modified xsi:type="dcterms:W3CDTF">2025-06-13T13:15:00Z</dcterms:modified>
</cp:coreProperties>
</file>