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A63" w:rsidRDefault="000939BC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Chapter 2: Contextual Timeline</w:t>
      </w:r>
    </w:p>
    <w:p w:rsidR="00AB1A63" w:rsidRDefault="00AB1A63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AB1A63" w:rsidRDefault="00AB1A63">
      <w:pPr>
        <w:rPr>
          <w:rFonts w:ascii="Calibri" w:eastAsia="Calibri" w:hAnsi="Calibri" w:cs="Calibri"/>
          <w:sz w:val="24"/>
          <w:szCs w:val="24"/>
        </w:rPr>
      </w:pPr>
    </w:p>
    <w:p w:rsidR="00AB1A63" w:rsidRDefault="000939B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Contextual timelines are difficult beasts. Often when creating them retrospectively, we capture the things our current world remembers, rather than what writers paid attention to at the time. </w:t>
      </w:r>
    </w:p>
    <w:p w:rsidR="00AB1A63" w:rsidRDefault="00AB1A63">
      <w:pPr>
        <w:rPr>
          <w:rFonts w:ascii="Calibri" w:eastAsia="Calibri" w:hAnsi="Calibri" w:cs="Calibri"/>
          <w:sz w:val="24"/>
          <w:szCs w:val="24"/>
        </w:rPr>
      </w:pPr>
    </w:p>
    <w:p w:rsidR="00AB1A63" w:rsidRDefault="000939B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When used in the classroom, they become even more complex as we aim to align timelines with what our learners already know of history and literature, building on pre-existing schema.</w:t>
      </w:r>
    </w:p>
    <w:p w:rsidR="00AB1A63" w:rsidRDefault="00AB1A63">
      <w:pPr>
        <w:rPr>
          <w:rFonts w:ascii="Calibri" w:eastAsia="Calibri" w:hAnsi="Calibri" w:cs="Calibri"/>
          <w:sz w:val="24"/>
          <w:szCs w:val="24"/>
        </w:rPr>
      </w:pPr>
    </w:p>
    <w:p w:rsidR="00AB1A63" w:rsidRDefault="000939B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This, then, is a timeline that considers 2 things: </w:t>
      </w:r>
    </w:p>
    <w:p w:rsidR="00413265" w:rsidRDefault="00413265">
      <w:pPr>
        <w:rPr>
          <w:rFonts w:ascii="Calibri" w:eastAsia="Calibri" w:hAnsi="Calibri" w:cs="Calibri"/>
          <w:sz w:val="24"/>
          <w:szCs w:val="24"/>
        </w:rPr>
      </w:pPr>
    </w:p>
    <w:p w:rsidR="00AB1A63" w:rsidRDefault="000939B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1: the historical, s</w:t>
      </w:r>
      <w:r>
        <w:rPr>
          <w:rFonts w:ascii="Calibri" w:eastAsia="Calibri" w:hAnsi="Calibri" w:cs="Calibri"/>
          <w:sz w:val="24"/>
          <w:szCs w:val="24"/>
        </w:rPr>
        <w:t>cientific and literary events and dynamics Mary Shelley may have experienced, discussed, known about and been influenced by.</w:t>
      </w:r>
    </w:p>
    <w:p w:rsidR="00AB1A63" w:rsidRDefault="000939B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2: the historical, scientific and literary events and dynamics that our learners might have ‘bumped into’ either in wider society, </w:t>
      </w:r>
      <w:r>
        <w:rPr>
          <w:rFonts w:ascii="Calibri" w:eastAsia="Calibri" w:hAnsi="Calibri" w:cs="Calibri"/>
          <w:sz w:val="24"/>
          <w:szCs w:val="24"/>
        </w:rPr>
        <w:t xml:space="preserve">or through the curriculum they have experienced in school. </w:t>
      </w:r>
    </w:p>
    <w:p w:rsidR="00AB1A63" w:rsidRDefault="00AB1A63">
      <w:pPr>
        <w:rPr>
          <w:rFonts w:ascii="Calibri" w:eastAsia="Calibri" w:hAnsi="Calibri" w:cs="Calibri"/>
          <w:sz w:val="24"/>
          <w:szCs w:val="24"/>
        </w:rPr>
      </w:pPr>
    </w:p>
    <w:p w:rsidR="00AB1A63" w:rsidRDefault="000939B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It is not exhaustive, but aims to offer acknowledgement of the context that may have sparked ideas that feature in the novel. </w:t>
      </w:r>
    </w:p>
    <w:p w:rsidR="00AB1A63" w:rsidRDefault="00AB1A63">
      <w:pPr>
        <w:rPr>
          <w:rFonts w:ascii="Calibri" w:eastAsia="Calibri" w:hAnsi="Calibri" w:cs="Calibri"/>
          <w:sz w:val="24"/>
          <w:szCs w:val="24"/>
        </w:rPr>
      </w:pPr>
    </w:p>
    <w:p w:rsidR="00AB1A63" w:rsidRDefault="00AB1A63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AB1A6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Pr="00413265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1326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Scientific Developments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Pr="00413265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13265">
              <w:rPr>
                <w:rFonts w:ascii="Calibri" w:eastAsia="Calibri" w:hAnsi="Calibri" w:cs="Calibri"/>
                <w:b/>
                <w:sz w:val="24"/>
                <w:szCs w:val="24"/>
              </w:rPr>
              <w:t>Literary Events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Pr="00413265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13265">
              <w:rPr>
                <w:rFonts w:ascii="Calibri" w:eastAsia="Calibri" w:hAnsi="Calibri" w:cs="Calibri"/>
                <w:b/>
                <w:sz w:val="24"/>
                <w:szCs w:val="24"/>
              </w:rPr>
              <w:t>Biographical Events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Pr="00413265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13265">
              <w:rPr>
                <w:rFonts w:ascii="Calibri" w:eastAsia="Calibri" w:hAnsi="Calibri" w:cs="Calibri"/>
                <w:b/>
                <w:sz w:val="24"/>
                <w:szCs w:val="24"/>
              </w:rPr>
              <w:t>Histo</w:t>
            </w:r>
            <w:r w:rsidRPr="0041326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rical events </w:t>
            </w:r>
          </w:p>
        </w:tc>
      </w:tr>
      <w:tr w:rsidR="00AB1A6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1752 - Benjamin Franklin captures lightning ‘from the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gods’</w:t>
            </w:r>
            <w:proofErr w:type="gramEnd"/>
            <w:r w:rsidR="0041326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1A6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1756 William Godwin, born</w:t>
            </w:r>
            <w:r w:rsidR="0041326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1A6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1759 Mary Wollstonecraft, born</w:t>
            </w:r>
            <w:r w:rsidR="0041326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1A6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1772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The Sorrows of Young Werther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published</w:t>
            </w:r>
            <w:r w:rsidR="0041326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1A6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1782 Mary Wollstonecraft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publishes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Thoughts on the Education of Daughters</w:t>
            </w:r>
            <w:r w:rsidR="00413265">
              <w:rPr>
                <w:rFonts w:ascii="Calibri" w:eastAsia="Calibri" w:hAnsi="Calibri" w:cs="Calibri"/>
                <w:i/>
                <w:sz w:val="24"/>
                <w:szCs w:val="24"/>
              </w:rPr>
              <w:t>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1A63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1789: The French Revolution begins. William Godwin and many of his friends celebrate this.</w:t>
            </w:r>
          </w:p>
        </w:tc>
      </w:tr>
      <w:tr w:rsidR="00AB1A6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1791 - Luigi Galvani publishes his findings on ‘animal electricity’, sharing his experiments with electricity on animal - and human </w:t>
            </w:r>
            <w:r w:rsidR="00413265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limbs</w:t>
            </w:r>
            <w:r w:rsidR="0041326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1A63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1792: Mary Wollstonecraft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A Vindication on the Rights of Women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published</w:t>
            </w:r>
            <w:r w:rsidR="0041326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1A63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1793: William Godwin,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An Enquiry Concerning Political Justice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published to a mixed reception</w:t>
            </w:r>
            <w:r w:rsidR="0041326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1A6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1794: Erasmus Darwin (great uncle of Charles Darwin) publishes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Zoonomia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an exploration of ‘spontaneous generation’</w:t>
            </w:r>
            <w:r w:rsidR="0041326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1A6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1797: Godwin and the pregnant Wollstonecraft are married, creating scandal. Mary Godwin (later Shelley) is born. Days later, Mary Wollstonecraft dies.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1A6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1798: Coleridge (friend of William Godwin) publishes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The Rime of the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lastRenderedPageBreak/>
              <w:t xml:space="preserve">Ancient Mariner.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Years later, 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reads it to young Mary who is fascinated by the sailors’ suffering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1A6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1800: Alessandro Volta creates an early type of battery, a significant advancement in human interaction with electricity</w:t>
            </w:r>
            <w:r w:rsidR="0041326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1800: Godwin travels to Ireland, leaving Mary in the care of 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friend</w:t>
            </w:r>
            <w:r w:rsidR="0041326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1A6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1801: William Godwin marries Mary Jane Clairmont</w:t>
            </w:r>
            <w:r w:rsidR="0041326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1A6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1803: Britain at war with France. This lasts until Napoleon is defeated in 1815.</w:t>
            </w:r>
          </w:p>
        </w:tc>
      </w:tr>
      <w:tr w:rsidR="00AB1A6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1807: Enslavement is abolished across the British Empire</w:t>
            </w:r>
            <w:r w:rsidR="0041326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B1A63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1805: Godwin and Clairmont start a publishing house for children’s literature. They publish several famous works - Mary reads these and others voraciously.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1A6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1811: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Sense and Sensibility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published by Aust</w:t>
            </w:r>
            <w:r w:rsidR="00413265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n;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The Necessity of Atheism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by Percy Bysshe Shelley (which results in his expulsion from Oxford)</w:t>
            </w:r>
            <w:r w:rsidR="00413265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1A6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1814: Mary begins an affair with Percy Shelley; they elope to the continent. She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returns pregnant with their first child. Godwin dismisses her entirely.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1A6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1815: Mary gives birth prematurely to a daughter who dies a few days later.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1815: Mount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Tambora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 Indonesia erupts and disrupts global weather patterns. </w:t>
            </w:r>
          </w:p>
        </w:tc>
      </w:tr>
      <w:tr w:rsidR="00AB1A63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1816: Mary travels to Switzerland with Percy, her step sister, Clare, and Lord Bryon. Avoiding the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terrible weather, they entertain themselves by creating gothic tales. </w:t>
            </w:r>
          </w:p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After Percy’s wife, Harriet, commits suicide, he and Mary are married on 30th December. Following this, Godwin welcomes her as his daughter again.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1816: The impact of Mount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Tambora’s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eruption continues. 1816 is Europe’s ‘year without 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summer’. </w:t>
            </w:r>
          </w:p>
        </w:tc>
      </w:tr>
      <w:tr w:rsidR="00AB1A63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1817: Mary commits her gothic tale to paper and writes Frankenstein. She and Percy have a daughter, Clara.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1A63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1818: 'Frankenstein' is published. Clara dies.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1A63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1822: While travelling in the Gulf of Spezia, Percy’s ship sinks and he drowns. His body washes up on shore 2 weeks later.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B1A63">
        <w:trPr>
          <w:trHeight w:val="42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0939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1831: A revised edition of 'Frankenstein' is published with several edits and a new introduction.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1A63" w:rsidRDefault="00AB1A6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AB1A63" w:rsidRDefault="00AB1A63">
      <w:pPr>
        <w:rPr>
          <w:rFonts w:ascii="Calibri" w:eastAsia="Calibri" w:hAnsi="Calibri" w:cs="Calibri"/>
          <w:sz w:val="24"/>
          <w:szCs w:val="24"/>
        </w:rPr>
      </w:pPr>
    </w:p>
    <w:p w:rsidR="00AB1A63" w:rsidRDefault="00AB1A63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AB1A63" w:rsidRDefault="00AB1A63"/>
    <w:sectPr w:rsidR="00AB1A63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265" w:rsidRDefault="00413265" w:rsidP="00413265">
      <w:pPr>
        <w:spacing w:line="240" w:lineRule="auto"/>
      </w:pPr>
      <w:r>
        <w:separator/>
      </w:r>
    </w:p>
  </w:endnote>
  <w:endnote w:type="continuationSeparator" w:id="0">
    <w:p w:rsidR="00413265" w:rsidRDefault="00413265" w:rsidP="00413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265" w:rsidRPr="0024114B" w:rsidRDefault="00413265" w:rsidP="00413265">
    <w:pPr>
      <w:pStyle w:val="Footer"/>
      <w:jc w:val="right"/>
      <w:rPr>
        <w:lang w:val="en-GB"/>
      </w:rPr>
    </w:pPr>
    <w:r w:rsidRPr="0024114B">
      <w:rPr>
        <w:lang w:val="en-GB"/>
      </w:rPr>
      <w:t>© Fe Brewer, Mary Hind-</w:t>
    </w:r>
    <w:proofErr w:type="spellStart"/>
    <w:r w:rsidRPr="0024114B">
      <w:rPr>
        <w:lang w:val="en-GB"/>
      </w:rPr>
      <w:t>Portley</w:t>
    </w:r>
    <w:proofErr w:type="spellEnd"/>
    <w:r w:rsidRPr="0024114B">
      <w:rPr>
        <w:lang w:val="en-GB"/>
      </w:rPr>
      <w:t xml:space="preserve"> and Gwen Nelson</w:t>
    </w:r>
    <w:r>
      <w:rPr>
        <w:lang w:val="en-GB"/>
      </w:rPr>
      <w:t>, 2025</w:t>
    </w:r>
  </w:p>
  <w:p w:rsidR="00413265" w:rsidRDefault="00413265" w:rsidP="00413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265" w:rsidRDefault="00413265" w:rsidP="00413265">
      <w:pPr>
        <w:spacing w:line="240" w:lineRule="auto"/>
      </w:pPr>
      <w:r>
        <w:separator/>
      </w:r>
    </w:p>
  </w:footnote>
  <w:footnote w:type="continuationSeparator" w:id="0">
    <w:p w:rsidR="00413265" w:rsidRDefault="00413265" w:rsidP="004132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63"/>
    <w:rsid w:val="000939BC"/>
    <w:rsid w:val="00413265"/>
    <w:rsid w:val="00AB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AEB04"/>
  <w15:docId w15:val="{81BA6061-73E7-4DF5-BADE-67B7154E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326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265"/>
  </w:style>
  <w:style w:type="paragraph" w:styleId="Footer">
    <w:name w:val="footer"/>
    <w:basedOn w:val="Normal"/>
    <w:link w:val="FooterChar"/>
    <w:uiPriority w:val="99"/>
    <w:unhideWhenUsed/>
    <w:rsid w:val="0041326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2</cp:revision>
  <dcterms:created xsi:type="dcterms:W3CDTF">2025-06-10T08:49:00Z</dcterms:created>
  <dcterms:modified xsi:type="dcterms:W3CDTF">2025-06-10T09:05:00Z</dcterms:modified>
</cp:coreProperties>
</file>