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8580A0" w14:textId="650D53D9" w:rsidR="00322ECB" w:rsidRPr="00E40C32" w:rsidRDefault="00AE1B12">
      <w:pPr>
        <w:rPr>
          <w:b/>
          <w:bCs/>
          <w:sz w:val="24"/>
          <w:szCs w:val="24"/>
        </w:rPr>
      </w:pPr>
      <w:bookmarkStart w:id="0" w:name="_GoBack"/>
      <w:bookmarkEnd w:id="0"/>
      <w:r w:rsidRPr="00E40C32">
        <w:rPr>
          <w:b/>
          <w:bCs/>
          <w:sz w:val="24"/>
          <w:szCs w:val="24"/>
        </w:rPr>
        <w:t>A focus on the present</w:t>
      </w:r>
    </w:p>
    <w:p w14:paraId="6C109E15" w14:textId="77777777" w:rsidR="00322ECB" w:rsidRPr="00E40C32" w:rsidRDefault="00322ECB">
      <w:pPr>
        <w:rPr>
          <w:b/>
          <w:bCs/>
          <w:sz w:val="24"/>
          <w:szCs w:val="24"/>
        </w:rPr>
      </w:pPr>
    </w:p>
    <w:tbl>
      <w:tblPr>
        <w:tblW w:w="13740" w:type="dxa"/>
        <w:tblInd w:w="5" w:type="dxa"/>
        <w:tblLayout w:type="fixed"/>
        <w:tblCellMar>
          <w:left w:w="0" w:type="dxa"/>
          <w:right w:w="0" w:type="dxa"/>
        </w:tblCellMar>
        <w:tblLook w:val="0000" w:firstRow="0" w:lastRow="0" w:firstColumn="0" w:lastColumn="0" w:noHBand="0" w:noVBand="0"/>
      </w:tblPr>
      <w:tblGrid>
        <w:gridCol w:w="1701"/>
        <w:gridCol w:w="3959"/>
        <w:gridCol w:w="8080"/>
      </w:tblGrid>
      <w:tr w:rsidR="00AE1B12" w:rsidRPr="00E40C32" w14:paraId="444B7C55" w14:textId="77777777" w:rsidTr="00E40C32">
        <w:trPr>
          <w:trHeight w:val="78"/>
        </w:trPr>
        <w:tc>
          <w:tcPr>
            <w:tcW w:w="1701"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43E21B5" w14:textId="77777777" w:rsidR="00AE1B12" w:rsidRPr="00E40C32" w:rsidRDefault="00AE1B12" w:rsidP="00E40C32">
            <w:pPr>
              <w:pStyle w:val="TableParagraph"/>
              <w:kinsoku w:val="0"/>
              <w:overflowPunct w:val="0"/>
              <w:snapToGrid w:val="0"/>
              <w:spacing w:before="120" w:after="120" w:line="288" w:lineRule="auto"/>
              <w:ind w:left="148" w:right="142"/>
              <w:jc w:val="center"/>
              <w:rPr>
                <w:b/>
                <w:bCs/>
              </w:rPr>
            </w:pPr>
            <w:r w:rsidRPr="00E40C32">
              <w:rPr>
                <w:b/>
                <w:bCs/>
              </w:rPr>
              <w:t>Aim</w:t>
            </w:r>
          </w:p>
        </w:tc>
        <w:tc>
          <w:tcPr>
            <w:tcW w:w="395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A009DA" w14:textId="77777777" w:rsidR="00AE1B12" w:rsidRPr="00E40C32" w:rsidRDefault="00AE1B12" w:rsidP="00E40C32">
            <w:pPr>
              <w:pStyle w:val="TableParagraph"/>
              <w:kinsoku w:val="0"/>
              <w:overflowPunct w:val="0"/>
              <w:snapToGrid w:val="0"/>
              <w:spacing w:before="120" w:after="120" w:line="288" w:lineRule="auto"/>
              <w:ind w:left="145" w:right="142"/>
              <w:jc w:val="center"/>
              <w:rPr>
                <w:b/>
                <w:bCs/>
              </w:rPr>
            </w:pPr>
            <w:r w:rsidRPr="00E40C32">
              <w:rPr>
                <w:b/>
                <w:bCs/>
              </w:rPr>
              <w:t>A ‘future in the present’ approach</w:t>
            </w:r>
          </w:p>
        </w:tc>
        <w:tc>
          <w:tcPr>
            <w:tcW w:w="80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CA6C11F" w14:textId="77777777" w:rsidR="00AE1B12" w:rsidRPr="00E40C32" w:rsidRDefault="00AE1B12" w:rsidP="00E40C32">
            <w:pPr>
              <w:pStyle w:val="TableParagraph"/>
              <w:kinsoku w:val="0"/>
              <w:overflowPunct w:val="0"/>
              <w:snapToGrid w:val="0"/>
              <w:spacing w:before="120" w:after="120" w:line="288" w:lineRule="auto"/>
              <w:ind w:left="148" w:right="142"/>
              <w:jc w:val="center"/>
              <w:rPr>
                <w:b/>
                <w:bCs/>
              </w:rPr>
            </w:pPr>
            <w:r w:rsidRPr="00E40C32">
              <w:rPr>
                <w:b/>
                <w:bCs/>
              </w:rPr>
              <w:t>A ‘focus on the present’ approach</w:t>
            </w:r>
          </w:p>
        </w:tc>
      </w:tr>
      <w:tr w:rsidR="00AE1B12" w:rsidRPr="00E40C32" w14:paraId="53B88178" w14:textId="77777777" w:rsidTr="00E40C32">
        <w:trPr>
          <w:trHeight w:val="257"/>
        </w:trPr>
        <w:tc>
          <w:tcPr>
            <w:tcW w:w="1701" w:type="dxa"/>
            <w:tcBorders>
              <w:top w:val="single" w:sz="4" w:space="0" w:color="auto"/>
              <w:left w:val="single" w:sz="6" w:space="0" w:color="000000"/>
              <w:bottom w:val="single" w:sz="6" w:space="0" w:color="000000"/>
              <w:right w:val="single" w:sz="6" w:space="0" w:color="000000"/>
            </w:tcBorders>
          </w:tcPr>
          <w:p w14:paraId="1EED99F4" w14:textId="77777777" w:rsidR="00AE1B12" w:rsidRPr="00E40C32" w:rsidRDefault="00AE1B12" w:rsidP="00E40C32">
            <w:pPr>
              <w:pStyle w:val="TableParagraph"/>
              <w:kinsoku w:val="0"/>
              <w:overflowPunct w:val="0"/>
              <w:snapToGrid w:val="0"/>
              <w:spacing w:before="120" w:after="120" w:line="288" w:lineRule="auto"/>
              <w:ind w:left="148" w:right="142"/>
            </w:pPr>
            <w:r w:rsidRPr="00E40C32">
              <w:t>Motivate students to work harder</w:t>
            </w:r>
          </w:p>
        </w:tc>
        <w:tc>
          <w:tcPr>
            <w:tcW w:w="3959" w:type="dxa"/>
            <w:tcBorders>
              <w:top w:val="single" w:sz="4" w:space="0" w:color="auto"/>
              <w:left w:val="single" w:sz="6" w:space="0" w:color="000000"/>
              <w:bottom w:val="single" w:sz="6" w:space="0" w:color="000000"/>
              <w:right w:val="single" w:sz="6" w:space="0" w:color="000000"/>
            </w:tcBorders>
          </w:tcPr>
          <w:p w14:paraId="1C37EDA6" w14:textId="77777777" w:rsidR="00AE1B12" w:rsidRPr="00E40C32" w:rsidRDefault="00AE1B12" w:rsidP="00E40C32">
            <w:pPr>
              <w:pStyle w:val="TableParagraph"/>
              <w:kinsoku w:val="0"/>
              <w:overflowPunct w:val="0"/>
              <w:snapToGrid w:val="0"/>
              <w:spacing w:before="120" w:after="120" w:line="288" w:lineRule="auto"/>
              <w:ind w:left="145" w:right="142"/>
            </w:pPr>
            <w:r w:rsidRPr="00E40C32">
              <w:t>Your GCSEs matter: you need to take this seriously because it all counts towards your GCSEs.</w:t>
            </w:r>
          </w:p>
        </w:tc>
        <w:tc>
          <w:tcPr>
            <w:tcW w:w="8080" w:type="dxa"/>
            <w:tcBorders>
              <w:top w:val="single" w:sz="4" w:space="0" w:color="auto"/>
              <w:left w:val="single" w:sz="6" w:space="0" w:color="000000"/>
              <w:bottom w:val="single" w:sz="6" w:space="0" w:color="000000"/>
              <w:right w:val="single" w:sz="6" w:space="0" w:color="000000"/>
            </w:tcBorders>
          </w:tcPr>
          <w:p w14:paraId="28A4C223" w14:textId="77777777" w:rsidR="00AE1B12" w:rsidRPr="00E40C32" w:rsidRDefault="00AE1B12" w:rsidP="00E40C32">
            <w:pPr>
              <w:pStyle w:val="TableParagraph"/>
              <w:kinsoku w:val="0"/>
              <w:overflowPunct w:val="0"/>
              <w:snapToGrid w:val="0"/>
              <w:spacing w:before="120" w:after="120" w:line="288" w:lineRule="auto"/>
              <w:ind w:left="148" w:right="142"/>
            </w:pPr>
            <w:r w:rsidRPr="00E40C32">
              <w:t>Learning helps you develop your skills. Our school values focus in class because this helps you learn. Let’s focus now so that we can learn today.</w:t>
            </w:r>
          </w:p>
        </w:tc>
      </w:tr>
      <w:tr w:rsidR="00AE1B12" w:rsidRPr="00E40C32" w14:paraId="3E7B467F" w14:textId="77777777" w:rsidTr="00E40C32">
        <w:trPr>
          <w:trHeight w:val="1009"/>
        </w:trPr>
        <w:tc>
          <w:tcPr>
            <w:tcW w:w="1701" w:type="dxa"/>
            <w:tcBorders>
              <w:top w:val="none" w:sz="6" w:space="0" w:color="auto"/>
              <w:left w:val="single" w:sz="6" w:space="0" w:color="000000"/>
              <w:bottom w:val="single" w:sz="6" w:space="0" w:color="000000"/>
              <w:right w:val="single" w:sz="6" w:space="0" w:color="000000"/>
            </w:tcBorders>
          </w:tcPr>
          <w:p w14:paraId="684BC0BE" w14:textId="77777777" w:rsidR="00AE1B12" w:rsidRPr="00E40C32" w:rsidRDefault="00AE1B12" w:rsidP="00E40C32">
            <w:pPr>
              <w:pStyle w:val="TableParagraph"/>
              <w:kinsoku w:val="0"/>
              <w:overflowPunct w:val="0"/>
              <w:snapToGrid w:val="0"/>
              <w:spacing w:before="120" w:after="120" w:line="288" w:lineRule="auto"/>
              <w:ind w:left="148" w:right="142"/>
            </w:pPr>
            <w:r w:rsidRPr="00E40C32">
              <w:t>Justify how a question should be answered</w:t>
            </w:r>
          </w:p>
        </w:tc>
        <w:tc>
          <w:tcPr>
            <w:tcW w:w="3959" w:type="dxa"/>
            <w:tcBorders>
              <w:top w:val="none" w:sz="6" w:space="0" w:color="auto"/>
              <w:left w:val="single" w:sz="6" w:space="0" w:color="000000"/>
              <w:bottom w:val="single" w:sz="6" w:space="0" w:color="000000"/>
              <w:right w:val="single" w:sz="6" w:space="0" w:color="000000"/>
            </w:tcBorders>
          </w:tcPr>
          <w:p w14:paraId="3D2E254C" w14:textId="77777777" w:rsidR="00AE1B12" w:rsidRPr="00E40C32" w:rsidRDefault="00AE1B12" w:rsidP="00E40C32">
            <w:pPr>
              <w:pStyle w:val="TableParagraph"/>
              <w:kinsoku w:val="0"/>
              <w:overflowPunct w:val="0"/>
              <w:snapToGrid w:val="0"/>
              <w:spacing w:before="120" w:after="120" w:line="288" w:lineRule="auto"/>
              <w:ind w:left="145" w:right="142"/>
            </w:pPr>
            <w:r w:rsidRPr="00E40C32">
              <w:t>You need to use terminology like ‘metaphor’, ‘alliteration’ and ‘simile’ because your GCSE examiners will want to see it in three years.</w:t>
            </w:r>
          </w:p>
        </w:tc>
        <w:tc>
          <w:tcPr>
            <w:tcW w:w="8080" w:type="dxa"/>
            <w:tcBorders>
              <w:top w:val="none" w:sz="6" w:space="0" w:color="auto"/>
              <w:left w:val="single" w:sz="6" w:space="0" w:color="000000"/>
              <w:bottom w:val="single" w:sz="6" w:space="0" w:color="000000"/>
              <w:right w:val="single" w:sz="6" w:space="0" w:color="000000"/>
            </w:tcBorders>
          </w:tcPr>
          <w:p w14:paraId="2E599A25" w14:textId="29F0791E" w:rsidR="00AE1B12" w:rsidRPr="00E40C32" w:rsidRDefault="00AE1B12" w:rsidP="00E40C32">
            <w:pPr>
              <w:pStyle w:val="TableParagraph"/>
              <w:kinsoku w:val="0"/>
              <w:overflowPunct w:val="0"/>
              <w:snapToGrid w:val="0"/>
              <w:spacing w:before="120" w:after="120" w:line="288" w:lineRule="auto"/>
              <w:ind w:left="148" w:right="142"/>
            </w:pPr>
            <w:r w:rsidRPr="00E40C32">
              <w:t>Using the right terminology makes your answer better: the terms allow you to be more accurate in what you say. The three words we’re going to practise using today are ‘metaphor’, ‘alliteration’ and ‘simile’. Let’s work on using these.</w:t>
            </w:r>
          </w:p>
        </w:tc>
      </w:tr>
      <w:tr w:rsidR="00E40C32" w:rsidRPr="00E40C32" w14:paraId="436815D3" w14:textId="77777777" w:rsidTr="00E40C32">
        <w:trPr>
          <w:trHeight w:val="1047"/>
        </w:trPr>
        <w:tc>
          <w:tcPr>
            <w:tcW w:w="1701" w:type="dxa"/>
            <w:tcBorders>
              <w:top w:val="none" w:sz="6" w:space="0" w:color="auto"/>
              <w:left w:val="single" w:sz="6" w:space="0" w:color="000000"/>
              <w:bottom w:val="single" w:sz="6" w:space="0" w:color="000000"/>
              <w:right w:val="single" w:sz="6" w:space="0" w:color="000000"/>
            </w:tcBorders>
          </w:tcPr>
          <w:p w14:paraId="1A4C53CD" w14:textId="77777777" w:rsidR="00AE1B12" w:rsidRPr="00E40C32" w:rsidRDefault="00AE1B12" w:rsidP="00E40C32">
            <w:pPr>
              <w:pStyle w:val="TableParagraph"/>
              <w:kinsoku w:val="0"/>
              <w:overflowPunct w:val="0"/>
              <w:snapToGrid w:val="0"/>
              <w:spacing w:before="120" w:after="120" w:line="288" w:lineRule="auto"/>
              <w:ind w:left="148" w:right="142"/>
            </w:pPr>
            <w:r w:rsidRPr="00E40C32">
              <w:t>Offer a superstructure</w:t>
            </w:r>
          </w:p>
        </w:tc>
        <w:tc>
          <w:tcPr>
            <w:tcW w:w="3959" w:type="dxa"/>
            <w:tcBorders>
              <w:top w:val="none" w:sz="6" w:space="0" w:color="auto"/>
              <w:left w:val="single" w:sz="6" w:space="0" w:color="000000"/>
              <w:bottom w:val="single" w:sz="6" w:space="0" w:color="000000"/>
              <w:right w:val="single" w:sz="6" w:space="0" w:color="000000"/>
            </w:tcBorders>
          </w:tcPr>
          <w:p w14:paraId="7D3794E5" w14:textId="77777777" w:rsidR="00AE1B12" w:rsidRPr="00E40C32" w:rsidRDefault="00AE1B12" w:rsidP="00E40C32">
            <w:pPr>
              <w:pStyle w:val="TableParagraph"/>
              <w:kinsoku w:val="0"/>
              <w:overflowPunct w:val="0"/>
              <w:snapToGrid w:val="0"/>
              <w:spacing w:before="120" w:after="120" w:line="288" w:lineRule="auto"/>
              <w:ind w:left="145" w:right="142"/>
            </w:pPr>
            <w:r w:rsidRPr="00E40C32">
              <w:t>We’re starting the GCSE course today: I’m giving you a copy of the specification outline so that you can see what we’ll be covering.</w:t>
            </w:r>
          </w:p>
        </w:tc>
        <w:tc>
          <w:tcPr>
            <w:tcW w:w="8080" w:type="dxa"/>
            <w:tcBorders>
              <w:top w:val="none" w:sz="6" w:space="0" w:color="auto"/>
              <w:left w:val="single" w:sz="6" w:space="0" w:color="000000"/>
              <w:bottom w:val="single" w:sz="6" w:space="0" w:color="000000"/>
              <w:right w:val="single" w:sz="6" w:space="0" w:color="000000"/>
            </w:tcBorders>
          </w:tcPr>
          <w:p w14:paraId="58580296" w14:textId="0984322C" w:rsidR="00AE1B12" w:rsidRPr="00E40C32" w:rsidRDefault="00AE1B12" w:rsidP="00E40C32">
            <w:pPr>
              <w:pStyle w:val="TableParagraph"/>
              <w:kinsoku w:val="0"/>
              <w:overflowPunct w:val="0"/>
              <w:snapToGrid w:val="0"/>
              <w:spacing w:before="120" w:after="120" w:line="288" w:lineRule="auto"/>
              <w:ind w:left="148" w:right="142"/>
            </w:pPr>
            <w:r w:rsidRPr="00E40C32">
              <w:t xml:space="preserve">We’re starting the GCSE course today, so I’m giving you a route map of what we’ll be working on and when. I’m not giving you a copy of the specification, because it’s full of technical terms you haven’t learned yet: </w:t>
            </w:r>
            <w:r w:rsidR="00275527">
              <w:t>it’s</w:t>
            </w:r>
            <w:r w:rsidRPr="00E40C32">
              <w:t xml:space="preserve"> a version that uses language you already know. I’ll give you the exam board’s version at some point, but only when we’re far enough along for it to make sense.</w:t>
            </w:r>
          </w:p>
        </w:tc>
      </w:tr>
    </w:tbl>
    <w:p w14:paraId="652991AF" w14:textId="77777777" w:rsidR="00322ECB" w:rsidRPr="00322ECB" w:rsidRDefault="00322ECB">
      <w:pPr>
        <w:rPr>
          <w:b/>
          <w:bCs/>
        </w:rPr>
      </w:pPr>
    </w:p>
    <w:sectPr w:rsidR="00322ECB" w:rsidRPr="00322ECB" w:rsidSect="00E40C32">
      <w:foot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72A8DB" w14:textId="77777777" w:rsidR="00FA2870" w:rsidRDefault="00FA2870" w:rsidP="00FA2870">
      <w:r>
        <w:separator/>
      </w:r>
    </w:p>
  </w:endnote>
  <w:endnote w:type="continuationSeparator" w:id="0">
    <w:p w14:paraId="7EE0F8D9" w14:textId="77777777" w:rsidR="00FA2870" w:rsidRDefault="00FA2870" w:rsidP="00FA28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F9EEC" w14:textId="3D506FC4" w:rsidR="00FA2870" w:rsidRDefault="00FA2870" w:rsidP="00FA2870">
    <w:pPr>
      <w:pStyle w:val="Footer"/>
    </w:pPr>
    <w:r>
      <w:t>© Bloomsbury Education 2025</w:t>
    </w:r>
  </w:p>
  <w:p w14:paraId="39692692" w14:textId="5FC5AB7B" w:rsidR="00FA2870" w:rsidRDefault="00FA2870">
    <w:pPr>
      <w:pStyle w:val="Footer"/>
    </w:pPr>
  </w:p>
  <w:p w14:paraId="3327697F" w14:textId="77777777" w:rsidR="00FA2870" w:rsidRDefault="00FA28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998E8" w14:textId="77777777" w:rsidR="00FA2870" w:rsidRDefault="00FA2870" w:rsidP="00FA2870">
      <w:r>
        <w:separator/>
      </w:r>
    </w:p>
  </w:footnote>
  <w:footnote w:type="continuationSeparator" w:id="0">
    <w:p w14:paraId="4423EE43" w14:textId="77777777" w:rsidR="00FA2870" w:rsidRDefault="00FA2870" w:rsidP="00FA287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AD"/>
    <w:rsid w:val="00275527"/>
    <w:rsid w:val="00322ECB"/>
    <w:rsid w:val="00533928"/>
    <w:rsid w:val="00743CDB"/>
    <w:rsid w:val="007A7B03"/>
    <w:rsid w:val="008A3EED"/>
    <w:rsid w:val="00AE1B12"/>
    <w:rsid w:val="00C26AB0"/>
    <w:rsid w:val="00D16BC5"/>
    <w:rsid w:val="00D416AD"/>
    <w:rsid w:val="00E40C32"/>
    <w:rsid w:val="00E41A70"/>
    <w:rsid w:val="00FA28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0F9EE"/>
  <w15:chartTrackingRefBased/>
  <w15:docId w15:val="{9677FB73-CBCC-477C-A242-85315C9FE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8A3EED"/>
    <w:pPr>
      <w:widowControl w:val="0"/>
      <w:autoSpaceDE w:val="0"/>
      <w:autoSpaceDN w:val="0"/>
      <w:adjustRightInd w:val="0"/>
      <w:spacing w:after="0" w:line="240" w:lineRule="auto"/>
    </w:pPr>
    <w:rPr>
      <w:rFonts w:ascii="Times New Roman" w:eastAsiaTheme="minorEastAsia"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8A3EED"/>
    <w:pPr>
      <w:ind w:left="100"/>
    </w:pPr>
    <w:rPr>
      <w:sz w:val="24"/>
      <w:szCs w:val="24"/>
    </w:rPr>
  </w:style>
  <w:style w:type="character" w:styleId="CommentReference">
    <w:name w:val="annotation reference"/>
    <w:basedOn w:val="DefaultParagraphFont"/>
    <w:uiPriority w:val="99"/>
    <w:semiHidden/>
    <w:unhideWhenUsed/>
    <w:rsid w:val="008A3EED"/>
    <w:rPr>
      <w:rFonts w:cs="Times New Roman"/>
      <w:sz w:val="16"/>
      <w:szCs w:val="16"/>
    </w:rPr>
  </w:style>
  <w:style w:type="paragraph" w:styleId="CommentText">
    <w:name w:val="annotation text"/>
    <w:basedOn w:val="Normal"/>
    <w:link w:val="CommentTextChar"/>
    <w:uiPriority w:val="99"/>
    <w:unhideWhenUsed/>
    <w:rsid w:val="008A3EED"/>
    <w:rPr>
      <w:sz w:val="20"/>
      <w:szCs w:val="20"/>
    </w:rPr>
  </w:style>
  <w:style w:type="character" w:customStyle="1" w:styleId="CommentTextChar">
    <w:name w:val="Comment Text Char"/>
    <w:basedOn w:val="DefaultParagraphFont"/>
    <w:link w:val="CommentText"/>
    <w:uiPriority w:val="99"/>
    <w:rsid w:val="008A3EED"/>
    <w:rPr>
      <w:rFonts w:ascii="Times New Roman" w:eastAsiaTheme="minorEastAsia" w:hAnsi="Times New Roman" w:cs="Times New Roman"/>
      <w:sz w:val="20"/>
      <w:szCs w:val="20"/>
      <w:lang w:eastAsia="en-GB"/>
    </w:rPr>
  </w:style>
  <w:style w:type="paragraph" w:styleId="BalloonText">
    <w:name w:val="Balloon Text"/>
    <w:basedOn w:val="Normal"/>
    <w:link w:val="BalloonTextChar"/>
    <w:uiPriority w:val="99"/>
    <w:semiHidden/>
    <w:unhideWhenUsed/>
    <w:rsid w:val="008A3E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EED"/>
    <w:rPr>
      <w:rFonts w:ascii="Segoe UI" w:eastAsiaTheme="minorEastAsia" w:hAnsi="Segoe UI" w:cs="Segoe UI"/>
      <w:sz w:val="18"/>
      <w:szCs w:val="18"/>
      <w:lang w:eastAsia="en-GB"/>
    </w:rPr>
  </w:style>
  <w:style w:type="paragraph" w:styleId="Header">
    <w:name w:val="header"/>
    <w:basedOn w:val="Normal"/>
    <w:link w:val="HeaderChar"/>
    <w:uiPriority w:val="99"/>
    <w:unhideWhenUsed/>
    <w:rsid w:val="00FA2870"/>
    <w:pPr>
      <w:tabs>
        <w:tab w:val="center" w:pos="4513"/>
        <w:tab w:val="right" w:pos="9026"/>
      </w:tabs>
    </w:pPr>
  </w:style>
  <w:style w:type="character" w:customStyle="1" w:styleId="HeaderChar">
    <w:name w:val="Header Char"/>
    <w:basedOn w:val="DefaultParagraphFont"/>
    <w:link w:val="Header"/>
    <w:uiPriority w:val="99"/>
    <w:rsid w:val="00FA2870"/>
    <w:rPr>
      <w:rFonts w:ascii="Times New Roman" w:eastAsiaTheme="minorEastAsia" w:hAnsi="Times New Roman" w:cs="Times New Roman"/>
      <w:lang w:eastAsia="en-GB"/>
    </w:rPr>
  </w:style>
  <w:style w:type="paragraph" w:styleId="Footer">
    <w:name w:val="footer"/>
    <w:basedOn w:val="Normal"/>
    <w:link w:val="FooterChar"/>
    <w:uiPriority w:val="99"/>
    <w:unhideWhenUsed/>
    <w:rsid w:val="00FA2870"/>
    <w:pPr>
      <w:tabs>
        <w:tab w:val="center" w:pos="4513"/>
        <w:tab w:val="right" w:pos="9026"/>
      </w:tabs>
    </w:pPr>
  </w:style>
  <w:style w:type="character" w:customStyle="1" w:styleId="FooterChar">
    <w:name w:val="Footer Char"/>
    <w:basedOn w:val="DefaultParagraphFont"/>
    <w:link w:val="Footer"/>
    <w:uiPriority w:val="99"/>
    <w:rsid w:val="00FA2870"/>
    <w:rPr>
      <w:rFonts w:ascii="Times New Roman" w:eastAsiaTheme="minorEastAsia"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197</Words>
  <Characters>1129</Characters>
  <Application>Microsoft Office Word</Application>
  <DocSecurity>0</DocSecurity>
  <Lines>9</Lines>
  <Paragraphs>2</Paragraphs>
  <ScaleCrop>false</ScaleCrop>
  <Company>Bloomsbury Publishing Plc</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Ramsay</dc:creator>
  <cp:keywords/>
  <dc:description/>
  <cp:lastModifiedBy>Asha Godsalve-Brunning</cp:lastModifiedBy>
  <cp:revision>6</cp:revision>
  <dcterms:created xsi:type="dcterms:W3CDTF">2024-12-02T21:18:00Z</dcterms:created>
  <dcterms:modified xsi:type="dcterms:W3CDTF">2025-08-12T11:14:00Z</dcterms:modified>
</cp:coreProperties>
</file>