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8478" w14:textId="77777777" w:rsidR="008D760F" w:rsidRPr="002B6028" w:rsidRDefault="008D760F" w:rsidP="008D760F">
      <w:pPr>
        <w:rPr>
          <w:rFonts w:ascii="Verdana" w:hAnsi="Verdana"/>
          <w:sz w:val="20"/>
          <w:szCs w:val="20"/>
        </w:rPr>
      </w:pPr>
      <w:proofErr w:type="spellStart"/>
      <w:r w:rsidRPr="002B6028">
        <w:rPr>
          <w:rFonts w:ascii="Verdana" w:hAnsi="Verdana"/>
          <w:sz w:val="20"/>
          <w:szCs w:val="20"/>
        </w:rPr>
        <w:t>Rōmulus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urbem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pulchram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aedificāvit</w:t>
      </w:r>
      <w:proofErr w:type="spellEnd"/>
      <w:r w:rsidRPr="002B6028">
        <w:rPr>
          <w:rFonts w:ascii="Verdana" w:hAnsi="Verdana"/>
          <w:sz w:val="20"/>
          <w:szCs w:val="20"/>
        </w:rPr>
        <w:t xml:space="preserve">: </w:t>
      </w:r>
      <w:proofErr w:type="spellStart"/>
      <w:r w:rsidRPr="002B6028">
        <w:rPr>
          <w:rFonts w:ascii="Verdana" w:hAnsi="Verdana"/>
          <w:sz w:val="20"/>
          <w:szCs w:val="20"/>
        </w:rPr>
        <w:t>multī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ad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urbem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vēnērunt</w:t>
      </w:r>
      <w:proofErr w:type="spellEnd"/>
      <w:r w:rsidRPr="002B6028">
        <w:rPr>
          <w:rFonts w:ascii="Verdana" w:hAnsi="Verdana"/>
          <w:sz w:val="20"/>
          <w:szCs w:val="20"/>
        </w:rPr>
        <w:t xml:space="preserve"> quod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vīllae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magnae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tabernae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bonae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tamen</w:t>
      </w:r>
      <w:proofErr w:type="spellEnd"/>
      <w:r w:rsidRPr="002B6028">
        <w:rPr>
          <w:rFonts w:ascii="Verdana" w:hAnsi="Verdana"/>
          <w:sz w:val="20"/>
          <w:szCs w:val="20"/>
        </w:rPr>
        <w:t xml:space="preserve"> in </w:t>
      </w:r>
      <w:proofErr w:type="spellStart"/>
      <w:r w:rsidRPr="002B6028">
        <w:rPr>
          <w:rFonts w:ascii="Verdana" w:hAnsi="Verdana"/>
          <w:sz w:val="20"/>
          <w:szCs w:val="20"/>
        </w:rPr>
        <w:t>urbe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nōn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aderant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Rōmulus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trīstēs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uxōrēs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habēre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nōn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possumus</w:t>
      </w:r>
      <w:proofErr w:type="spellEnd"/>
      <w:r w:rsidRPr="002B6028">
        <w:rPr>
          <w:rFonts w:ascii="Verdana" w:hAnsi="Verdana"/>
          <w:sz w:val="20"/>
          <w:szCs w:val="20"/>
        </w:rPr>
        <w:t xml:space="preserve">,’ </w:t>
      </w:r>
      <w:proofErr w:type="spellStart"/>
      <w:r w:rsidRPr="002B6028">
        <w:rPr>
          <w:rFonts w:ascii="Verdana" w:hAnsi="Verdana"/>
          <w:sz w:val="20"/>
          <w:szCs w:val="20"/>
        </w:rPr>
        <w:t>inquiunt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miserī</w:t>
      </w:r>
      <w:proofErr w:type="spellEnd"/>
      <w:r w:rsidRPr="002B6028">
        <w:rPr>
          <w:rFonts w:ascii="Verdana" w:hAnsi="Verdana"/>
          <w:sz w:val="20"/>
          <w:szCs w:val="20"/>
        </w:rPr>
        <w:t>. ‘</w:t>
      </w:r>
      <w:proofErr w:type="spellStart"/>
      <w:r w:rsidRPr="002B6028">
        <w:rPr>
          <w:rFonts w:ascii="Verdana" w:hAnsi="Verdana"/>
          <w:sz w:val="20"/>
          <w:szCs w:val="20"/>
        </w:rPr>
        <w:t>līberōs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habēre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nōn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possumus</w:t>
      </w:r>
      <w:proofErr w:type="spellEnd"/>
      <w:r w:rsidRPr="002B6028">
        <w:rPr>
          <w:rFonts w:ascii="Verdana" w:hAnsi="Verdana"/>
          <w:sz w:val="20"/>
          <w:szCs w:val="20"/>
        </w:rPr>
        <w:t xml:space="preserve">; </w:t>
      </w:r>
      <w:proofErr w:type="spellStart"/>
      <w:r w:rsidRPr="002B6028">
        <w:rPr>
          <w:rFonts w:ascii="Verdana" w:hAnsi="Verdana"/>
          <w:sz w:val="20"/>
          <w:szCs w:val="20"/>
        </w:rPr>
        <w:t>mox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mortui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erimus</w:t>
      </w:r>
      <w:proofErr w:type="spellEnd"/>
      <w:r w:rsidRPr="002B6028">
        <w:rPr>
          <w:rFonts w:ascii="Verdana" w:hAnsi="Verdana"/>
          <w:sz w:val="20"/>
          <w:szCs w:val="20"/>
        </w:rPr>
        <w:t xml:space="preserve">;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qu</w:t>
      </w:r>
      <w:r w:rsidRPr="002B6028">
        <w:rPr>
          <w:rFonts w:ascii="Verdana" w:hAnsi="Verdana"/>
          <w:sz w:val="20"/>
          <w:szCs w:val="20"/>
        </w:rPr>
        <w:t>ī</w:t>
      </w:r>
      <w:proofErr w:type="spellEnd"/>
      <w:r w:rsidRPr="002B6028">
        <w:rPr>
          <w:rFonts w:ascii="Verdana" w:hAnsi="Verdana"/>
          <w:sz w:val="20"/>
          <w:szCs w:val="20"/>
        </w:rPr>
        <w:t xml:space="preserve"> tum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erunt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>?’</w:t>
      </w:r>
    </w:p>
    <w:p w14:paraId="4026C9BC" w14:textId="77777777" w:rsidR="008D760F" w:rsidRPr="002B6028" w:rsidRDefault="008D760F" w:rsidP="008D760F">
      <w:pPr>
        <w:rPr>
          <w:rFonts w:ascii="Verdana" w:hAnsi="Verdana"/>
          <w:sz w:val="20"/>
          <w:szCs w:val="20"/>
        </w:rPr>
      </w:pPr>
      <w:proofErr w:type="spellStart"/>
      <w:r w:rsidRPr="002B6028">
        <w:rPr>
          <w:rFonts w:ascii="Verdana" w:hAnsi="Verdana"/>
          <w:sz w:val="20"/>
          <w:szCs w:val="20"/>
        </w:rPr>
        <w:t>cēterae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tamen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urbēs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Rōmānīs</w:t>
      </w:r>
      <w:proofErr w:type="spellEnd"/>
      <w:r w:rsidRPr="002B6028">
        <w:rPr>
          <w:rFonts w:ascii="Verdana" w:hAnsi="Verdana"/>
          <w:sz w:val="20"/>
          <w:szCs w:val="20"/>
        </w:rPr>
        <w:t xml:space="preserve"> dare </w:t>
      </w:r>
      <w:proofErr w:type="spellStart"/>
      <w:r w:rsidRPr="002B6028">
        <w:rPr>
          <w:rFonts w:ascii="Verdana" w:hAnsi="Verdana"/>
          <w:sz w:val="20"/>
          <w:szCs w:val="20"/>
        </w:rPr>
        <w:t>nōlēbant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,’ </w:t>
      </w:r>
      <w:proofErr w:type="spellStart"/>
      <w:proofErr w:type="gramStart"/>
      <w:r w:rsidRPr="002B6028">
        <w:rPr>
          <w:rFonts w:ascii="Verdana" w:hAnsi="Verdana"/>
          <w:sz w:val="20"/>
          <w:szCs w:val="20"/>
        </w:rPr>
        <w:t>inquiunt</w:t>
      </w:r>
      <w:proofErr w:type="spellEnd"/>
      <w:r w:rsidRPr="002B6028">
        <w:rPr>
          <w:rFonts w:ascii="Verdana" w:hAnsi="Verdana"/>
          <w:sz w:val="20"/>
          <w:szCs w:val="20"/>
        </w:rPr>
        <w:t>,  ‘</w:t>
      </w:r>
      <w:proofErr w:type="gramEnd"/>
      <w:r w:rsidRPr="002B6028">
        <w:rPr>
          <w:rFonts w:ascii="Verdana" w:hAnsi="Verdana"/>
          <w:sz w:val="20"/>
          <w:szCs w:val="20"/>
        </w:rPr>
        <w:t xml:space="preserve">sunt </w:t>
      </w:r>
      <w:proofErr w:type="spellStart"/>
      <w:r w:rsidRPr="002B6028">
        <w:rPr>
          <w:rFonts w:ascii="Verdana" w:hAnsi="Verdana"/>
          <w:sz w:val="20"/>
          <w:szCs w:val="20"/>
        </w:rPr>
        <w:t>malī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iūssimus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in </w:t>
      </w:r>
      <w:proofErr w:type="spellStart"/>
      <w:r w:rsidRPr="002B6028">
        <w:rPr>
          <w:rFonts w:ascii="Verdana" w:hAnsi="Verdana"/>
          <w:sz w:val="20"/>
          <w:szCs w:val="20"/>
        </w:rPr>
        <w:t>urbibus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nostrīs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manēre</w:t>
      </w:r>
      <w:proofErr w:type="spellEnd"/>
      <w:r w:rsidRPr="002B6028">
        <w:rPr>
          <w:rFonts w:ascii="Verdana" w:hAnsi="Verdana"/>
          <w:sz w:val="20"/>
          <w:szCs w:val="20"/>
        </w:rPr>
        <w:t>.’</w:t>
      </w:r>
    </w:p>
    <w:p w14:paraId="2B15F87B" w14:textId="77777777" w:rsidR="008D760F" w:rsidRPr="002B6028" w:rsidRDefault="008D760F" w:rsidP="008D760F">
      <w:pPr>
        <w:rPr>
          <w:rFonts w:ascii="Verdana" w:hAnsi="Verdana"/>
          <w:sz w:val="20"/>
          <w:szCs w:val="20"/>
        </w:rPr>
      </w:pPr>
      <w:r w:rsidRPr="002B6028">
        <w:rPr>
          <w:rFonts w:ascii="Verdana" w:hAnsi="Verdana"/>
          <w:sz w:val="20"/>
          <w:szCs w:val="20"/>
        </w:rPr>
        <w:t xml:space="preserve">tum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trīstissimī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Rōmulus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tamen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cōnsilium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cēpit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potestis</w:t>
      </w:r>
      <w:proofErr w:type="spellEnd"/>
      <w:r w:rsidRPr="002B6028">
        <w:rPr>
          <w:rFonts w:ascii="Verdana" w:hAnsi="Verdana"/>
          <w:sz w:val="20"/>
          <w:szCs w:val="20"/>
        </w:rPr>
        <w:t xml:space="preserve">,’ </w:t>
      </w:r>
      <w:proofErr w:type="spellStart"/>
      <w:r w:rsidRPr="002B6028">
        <w:rPr>
          <w:rFonts w:ascii="Verdana" w:hAnsi="Verdana"/>
          <w:sz w:val="20"/>
          <w:szCs w:val="20"/>
        </w:rPr>
        <w:t>inquit</w:t>
      </w:r>
      <w:proofErr w:type="spellEnd"/>
      <w:r w:rsidRPr="002B6028">
        <w:rPr>
          <w:rFonts w:ascii="Verdana" w:hAnsi="Verdana"/>
          <w:sz w:val="20"/>
          <w:szCs w:val="20"/>
        </w:rPr>
        <w:t>, ‘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auferre</w:t>
      </w:r>
      <w:proofErr w:type="spellEnd"/>
      <w:r w:rsidRPr="002B6028">
        <w:rPr>
          <w:rFonts w:ascii="Verdana" w:hAnsi="Verdana"/>
          <w:sz w:val="20"/>
          <w:szCs w:val="20"/>
        </w:rPr>
        <w:t xml:space="preserve">!’ </w:t>
      </w:r>
      <w:proofErr w:type="spellStart"/>
      <w:r w:rsidRPr="002B6028">
        <w:rPr>
          <w:rFonts w:ascii="Verdana" w:hAnsi="Verdana"/>
          <w:sz w:val="20"/>
          <w:szCs w:val="20"/>
        </w:rPr>
        <w:t>Rōmulus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persuāsit</w:t>
      </w:r>
      <w:proofErr w:type="spellEnd"/>
      <w:r w:rsidRPr="002B6028">
        <w:rPr>
          <w:rFonts w:ascii="Verdana" w:hAnsi="Verdana"/>
          <w:sz w:val="20"/>
          <w:szCs w:val="20"/>
        </w:rPr>
        <w:t xml:space="preserve">; </w:t>
      </w:r>
      <w:proofErr w:type="spellStart"/>
      <w:r w:rsidRPr="002B6028">
        <w:rPr>
          <w:rFonts w:ascii="Verdana" w:hAnsi="Verdana"/>
          <w:sz w:val="20"/>
          <w:szCs w:val="20"/>
        </w:rPr>
        <w:t>Rōmulus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iūssit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lūdōs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Neptūnālēs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facere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ad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lūdōs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vocāre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lūdōs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spectāre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volēbant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, quod </w:t>
      </w:r>
      <w:proofErr w:type="spellStart"/>
      <w:r w:rsidRPr="002B6028">
        <w:rPr>
          <w:rFonts w:ascii="Verdana" w:hAnsi="Verdana"/>
          <w:sz w:val="20"/>
          <w:szCs w:val="20"/>
        </w:rPr>
        <w:t>volēbant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capere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nēsciās</w:t>
      </w:r>
      <w:proofErr w:type="spellEnd"/>
      <w:r w:rsidRPr="002B6028">
        <w:rPr>
          <w:rFonts w:ascii="Verdana" w:hAnsi="Verdana"/>
          <w:sz w:val="20"/>
          <w:szCs w:val="20"/>
        </w:rPr>
        <w:t>.</w:t>
      </w:r>
    </w:p>
    <w:p w14:paraId="04EA4F98" w14:textId="77777777" w:rsidR="008D760F" w:rsidRPr="002B6028" w:rsidRDefault="008D760F" w:rsidP="008D760F">
      <w:pPr>
        <w:rPr>
          <w:rFonts w:ascii="Verdana" w:hAnsi="Verdana"/>
          <w:sz w:val="20"/>
          <w:szCs w:val="20"/>
        </w:rPr>
      </w:pPr>
      <w:proofErr w:type="spellStart"/>
      <w:r w:rsidRPr="002B6028">
        <w:rPr>
          <w:rFonts w:ascii="Verdana" w:hAnsi="Verdana"/>
          <w:sz w:val="20"/>
          <w:szCs w:val="20"/>
        </w:rPr>
        <w:t>multae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ad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lūdōs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ex </w:t>
      </w:r>
      <w:proofErr w:type="spellStart"/>
      <w:r w:rsidRPr="002B6028">
        <w:rPr>
          <w:rFonts w:ascii="Verdana" w:hAnsi="Verdana"/>
          <w:sz w:val="20"/>
          <w:szCs w:val="20"/>
        </w:rPr>
        <w:t>urbibus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cēterīs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festīnāvērunt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multae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lūdōs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spectābant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;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tamen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nōn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lūdōs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spectābant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sed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subitō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Rōmulus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sīgnum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dedit</w:t>
      </w:r>
      <w:proofErr w:type="spellEnd"/>
      <w:r w:rsidRPr="002B6028">
        <w:rPr>
          <w:rFonts w:ascii="Verdana" w:hAnsi="Verdana"/>
          <w:sz w:val="20"/>
          <w:szCs w:val="20"/>
        </w:rPr>
        <w:t xml:space="preserve">; </w:t>
      </w:r>
      <w:proofErr w:type="spellStart"/>
      <w:r w:rsidRPr="002B6028">
        <w:rPr>
          <w:rFonts w:ascii="Verdana" w:hAnsi="Verdana"/>
          <w:sz w:val="20"/>
          <w:szCs w:val="20"/>
        </w:rPr>
        <w:t>subitō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abstulērunt</w:t>
      </w:r>
      <w:proofErr w:type="spellEnd"/>
      <w:r w:rsidRPr="002B6028">
        <w:rPr>
          <w:rFonts w:ascii="Verdana" w:hAnsi="Verdana"/>
          <w:sz w:val="20"/>
          <w:szCs w:val="20"/>
        </w:rPr>
        <w:t xml:space="preserve">!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quaedam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perterritae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magnopere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lacrimābant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, </w:t>
      </w:r>
      <w:proofErr w:type="spellStart"/>
      <w:r w:rsidRPr="002B6028">
        <w:rPr>
          <w:rFonts w:ascii="Verdana" w:hAnsi="Verdana"/>
          <w:sz w:val="20"/>
          <w:szCs w:val="20"/>
        </w:rPr>
        <w:t>sed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cēterae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īrātae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magnopere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clāmābant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cūr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nōs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abstulērunt</w:t>
      </w:r>
      <w:proofErr w:type="spellEnd"/>
      <w:r w:rsidRPr="002B6028">
        <w:rPr>
          <w:rFonts w:ascii="Verdana" w:hAnsi="Verdana"/>
          <w:sz w:val="20"/>
          <w:szCs w:val="20"/>
        </w:rPr>
        <w:t xml:space="preserve">? </w:t>
      </w:r>
      <w:proofErr w:type="spellStart"/>
      <w:r w:rsidRPr="002B6028">
        <w:rPr>
          <w:rFonts w:ascii="Verdana" w:hAnsi="Verdana"/>
          <w:sz w:val="20"/>
          <w:szCs w:val="20"/>
        </w:rPr>
        <w:t>nōnne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possumus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abīre</w:t>
      </w:r>
      <w:proofErr w:type="spellEnd"/>
      <w:r w:rsidRPr="002B6028">
        <w:rPr>
          <w:rFonts w:ascii="Verdana" w:hAnsi="Verdana"/>
          <w:sz w:val="20"/>
          <w:szCs w:val="20"/>
        </w:rPr>
        <w:t xml:space="preserve">? </w:t>
      </w:r>
      <w:proofErr w:type="spellStart"/>
      <w:r w:rsidRPr="002B6028">
        <w:rPr>
          <w:rFonts w:ascii="Verdana" w:hAnsi="Verdana"/>
          <w:sz w:val="20"/>
          <w:szCs w:val="20"/>
        </w:rPr>
        <w:t>miserae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sumus</w:t>
      </w:r>
      <w:proofErr w:type="spellEnd"/>
      <w:r w:rsidRPr="002B6028">
        <w:rPr>
          <w:rFonts w:ascii="Verdana" w:hAnsi="Verdana"/>
          <w:sz w:val="20"/>
          <w:szCs w:val="20"/>
        </w:rPr>
        <w:t xml:space="preserve"> quod malum </w:t>
      </w:r>
      <w:proofErr w:type="spellStart"/>
      <w:r w:rsidRPr="002B6028">
        <w:rPr>
          <w:rFonts w:ascii="Verdana" w:hAnsi="Verdana"/>
          <w:sz w:val="20"/>
          <w:szCs w:val="20"/>
        </w:rPr>
        <w:t>est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esse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uxōrēs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Rōmānōrum</w:t>
      </w:r>
      <w:proofErr w:type="spellEnd"/>
      <w:r w:rsidRPr="002B6028">
        <w:rPr>
          <w:rFonts w:ascii="Verdana" w:hAnsi="Verdana"/>
          <w:sz w:val="20"/>
          <w:szCs w:val="20"/>
        </w:rPr>
        <w:t>.’</w:t>
      </w:r>
    </w:p>
    <w:p w14:paraId="2BFC2395" w14:textId="77777777" w:rsidR="008D760F" w:rsidRPr="002B6028" w:rsidRDefault="008D760F" w:rsidP="008D760F">
      <w:pPr>
        <w:rPr>
          <w:rFonts w:ascii="Verdana" w:hAnsi="Verdana"/>
          <w:sz w:val="20"/>
          <w:szCs w:val="20"/>
        </w:rPr>
      </w:pPr>
      <w:r w:rsidRPr="002B6028">
        <w:rPr>
          <w:rFonts w:ascii="Verdana" w:hAnsi="Verdana"/>
          <w:sz w:val="20"/>
          <w:szCs w:val="20"/>
        </w:rPr>
        <w:t xml:space="preserve">tum </w:t>
      </w:r>
      <w:proofErr w:type="spellStart"/>
      <w:r w:rsidRPr="002B6028">
        <w:rPr>
          <w:rFonts w:ascii="Verdana" w:hAnsi="Verdana"/>
          <w:sz w:val="20"/>
          <w:szCs w:val="20"/>
        </w:rPr>
        <w:t>patrēs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mātrēs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fēminārum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iratae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patrēs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fēminārum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contrā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pugnāre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volēbant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miserae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quod </w:t>
      </w:r>
      <w:proofErr w:type="spellStart"/>
      <w:r w:rsidRPr="002B6028">
        <w:rPr>
          <w:rFonts w:ascii="Verdana" w:hAnsi="Verdana"/>
          <w:sz w:val="20"/>
          <w:szCs w:val="20"/>
        </w:rPr>
        <w:t>patrēs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contrā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pugnāre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volēbant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mox</w:t>
      </w:r>
      <w:proofErr w:type="spellEnd"/>
      <w:r w:rsidRPr="002B6028">
        <w:rPr>
          <w:rFonts w:ascii="Verdana" w:hAnsi="Verdana"/>
          <w:sz w:val="20"/>
          <w:szCs w:val="20"/>
        </w:rPr>
        <w:t xml:space="preserve">,’ </w:t>
      </w:r>
      <w:proofErr w:type="spellStart"/>
      <w:r w:rsidRPr="002B6028">
        <w:rPr>
          <w:rFonts w:ascii="Verdana" w:hAnsi="Verdana"/>
          <w:sz w:val="20"/>
          <w:szCs w:val="20"/>
        </w:rPr>
        <w:t>inquiunt</w:t>
      </w:r>
      <w:proofErr w:type="spellEnd"/>
      <w:r w:rsidRPr="002B6028">
        <w:rPr>
          <w:rFonts w:ascii="Verdana" w:hAnsi="Verdana"/>
          <w:sz w:val="20"/>
          <w:szCs w:val="20"/>
        </w:rPr>
        <w:t>, ‘</w:t>
      </w:r>
      <w:proofErr w:type="spellStart"/>
      <w:r w:rsidRPr="002B6028">
        <w:rPr>
          <w:rFonts w:ascii="Verdana" w:hAnsi="Verdana"/>
          <w:sz w:val="20"/>
          <w:szCs w:val="20"/>
        </w:rPr>
        <w:t>patrēs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mortui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erunt</w:t>
      </w:r>
      <w:proofErr w:type="spellEnd"/>
      <w:r w:rsidRPr="002B6028">
        <w:rPr>
          <w:rFonts w:ascii="Verdana" w:hAnsi="Verdana"/>
          <w:sz w:val="20"/>
          <w:szCs w:val="20"/>
        </w:rPr>
        <w:t>!’</w:t>
      </w:r>
    </w:p>
    <w:p w14:paraId="02EDC8CD" w14:textId="77777777" w:rsidR="008D760F" w:rsidRPr="002B6028" w:rsidRDefault="008D760F" w:rsidP="008D760F">
      <w:pPr>
        <w:rPr>
          <w:rFonts w:ascii="Verdana" w:hAnsi="Verdana"/>
          <w:sz w:val="20"/>
          <w:szCs w:val="20"/>
        </w:rPr>
      </w:pPr>
      <w:r w:rsidRPr="002B6028">
        <w:rPr>
          <w:rFonts w:ascii="Verdana" w:hAnsi="Verdana"/>
          <w:sz w:val="20"/>
          <w:szCs w:val="20"/>
        </w:rPr>
        <w:t xml:space="preserve">tum </w:t>
      </w:r>
      <w:proofErr w:type="spellStart"/>
      <w:r w:rsidRPr="002B6028">
        <w:rPr>
          <w:rFonts w:ascii="Verdana" w:hAnsi="Verdana"/>
          <w:sz w:val="20"/>
          <w:szCs w:val="20"/>
        </w:rPr>
        <w:t>etiam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trīstēs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erant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quod </w:t>
      </w:r>
      <w:proofErr w:type="spellStart"/>
      <w:r w:rsidRPr="002B6028">
        <w:rPr>
          <w:rFonts w:ascii="Verdana" w:hAnsi="Verdana"/>
          <w:sz w:val="20"/>
          <w:szCs w:val="20"/>
        </w:rPr>
        <w:t>nolēbant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fēminās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esse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miserās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estis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bonae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pulchrae</w:t>
      </w:r>
      <w:proofErr w:type="spellEnd"/>
      <w:r w:rsidRPr="002B6028">
        <w:rPr>
          <w:rFonts w:ascii="Verdana" w:hAnsi="Verdana"/>
          <w:sz w:val="20"/>
          <w:szCs w:val="20"/>
        </w:rPr>
        <w:t xml:space="preserve">,’ </w:t>
      </w:r>
      <w:proofErr w:type="spellStart"/>
      <w:r w:rsidRPr="002B6028">
        <w:rPr>
          <w:rFonts w:ascii="Verdana" w:hAnsi="Verdana"/>
          <w:sz w:val="20"/>
          <w:szCs w:val="20"/>
        </w:rPr>
        <w:t>clāmābant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, ‘et </w:t>
      </w:r>
      <w:proofErr w:type="spellStart"/>
      <w:r w:rsidRPr="002B6028">
        <w:rPr>
          <w:rFonts w:ascii="Verdana" w:hAnsi="Verdana"/>
          <w:sz w:val="20"/>
          <w:szCs w:val="20"/>
        </w:rPr>
        <w:t>possumus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  <w:u w:val="thick"/>
        </w:rPr>
        <w:t>vōs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magnopere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amāre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nōn</w:t>
      </w:r>
      <w:proofErr w:type="spellEnd"/>
      <w:r w:rsidRPr="002B6028">
        <w:rPr>
          <w:rFonts w:ascii="Verdana" w:hAnsi="Verdana"/>
          <w:sz w:val="20"/>
          <w:szCs w:val="20"/>
        </w:rPr>
        <w:t xml:space="preserve"> malum </w:t>
      </w:r>
      <w:proofErr w:type="spellStart"/>
      <w:r w:rsidRPr="002B6028">
        <w:rPr>
          <w:rFonts w:ascii="Verdana" w:hAnsi="Verdana"/>
          <w:sz w:val="20"/>
          <w:szCs w:val="20"/>
        </w:rPr>
        <w:t>est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esse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uxōrēs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Rōmānōrum</w:t>
      </w:r>
      <w:proofErr w:type="spellEnd"/>
      <w:r w:rsidRPr="002B6028">
        <w:rPr>
          <w:rFonts w:ascii="Verdana" w:hAnsi="Verdana"/>
          <w:sz w:val="20"/>
          <w:szCs w:val="20"/>
        </w:rPr>
        <w:t xml:space="preserve">!’ tandem </w:t>
      </w:r>
      <w:proofErr w:type="spellStart"/>
      <w:r w:rsidRPr="002B6028">
        <w:rPr>
          <w:rFonts w:ascii="Verdana" w:hAnsi="Verdana"/>
          <w:sz w:val="20"/>
          <w:szCs w:val="20"/>
        </w:rPr>
        <w:t>Rōmānī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fēminīs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persuāsērunt</w:t>
      </w:r>
      <w:proofErr w:type="spellEnd"/>
      <w:r w:rsidRPr="002B6028">
        <w:rPr>
          <w:rFonts w:ascii="Verdana" w:hAnsi="Verdana"/>
          <w:sz w:val="20"/>
          <w:szCs w:val="20"/>
        </w:rPr>
        <w:t xml:space="preserve">; tum </w:t>
      </w:r>
      <w:proofErr w:type="spellStart"/>
      <w:r w:rsidRPr="002B6028">
        <w:rPr>
          <w:rFonts w:ascii="Verdana" w:hAnsi="Verdana"/>
          <w:sz w:val="20"/>
          <w:szCs w:val="20"/>
        </w:rPr>
        <w:t>fēminae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patribus</w:t>
      </w:r>
      <w:proofErr w:type="spellEnd"/>
      <w:r w:rsidRPr="002B6028">
        <w:rPr>
          <w:rFonts w:ascii="Verdana" w:hAnsi="Verdana"/>
          <w:sz w:val="20"/>
          <w:szCs w:val="20"/>
        </w:rPr>
        <w:t xml:space="preserve"> et </w:t>
      </w:r>
      <w:proofErr w:type="spellStart"/>
      <w:r w:rsidRPr="002B6028">
        <w:rPr>
          <w:rFonts w:ascii="Verdana" w:hAnsi="Verdana"/>
          <w:sz w:val="20"/>
          <w:szCs w:val="20"/>
        </w:rPr>
        <w:t>mātribus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persuāsērunt</w:t>
      </w:r>
      <w:proofErr w:type="spellEnd"/>
      <w:r w:rsidRPr="002B6028">
        <w:rPr>
          <w:rFonts w:ascii="Verdana" w:hAnsi="Verdana"/>
          <w:sz w:val="20"/>
          <w:szCs w:val="20"/>
        </w:rPr>
        <w:t>: ‘</w:t>
      </w:r>
      <w:proofErr w:type="spellStart"/>
      <w:r w:rsidRPr="002B6028">
        <w:rPr>
          <w:rFonts w:ascii="Verdana" w:hAnsi="Verdana"/>
          <w:sz w:val="20"/>
          <w:szCs w:val="20"/>
        </w:rPr>
        <w:t>contrā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Rōmānōs</w:t>
      </w:r>
      <w:proofErr w:type="spellEnd"/>
      <w:r w:rsidRPr="002B6028">
        <w:rPr>
          <w:rFonts w:ascii="Verdana" w:hAnsi="Verdana"/>
          <w:sz w:val="20"/>
          <w:szCs w:val="20"/>
        </w:rPr>
        <w:t xml:space="preserve">,’ </w:t>
      </w:r>
      <w:proofErr w:type="spellStart"/>
      <w:r w:rsidRPr="002B6028">
        <w:rPr>
          <w:rFonts w:ascii="Verdana" w:hAnsi="Verdana"/>
          <w:sz w:val="20"/>
          <w:szCs w:val="20"/>
        </w:rPr>
        <w:t>inquiunt</w:t>
      </w:r>
      <w:proofErr w:type="spellEnd"/>
      <w:r w:rsidRPr="002B6028">
        <w:rPr>
          <w:rFonts w:ascii="Verdana" w:hAnsi="Verdana"/>
          <w:sz w:val="20"/>
          <w:szCs w:val="20"/>
        </w:rPr>
        <w:t xml:space="preserve">, ‘non </w:t>
      </w:r>
      <w:proofErr w:type="spellStart"/>
      <w:proofErr w:type="gramStart"/>
      <w:r w:rsidRPr="002B6028">
        <w:rPr>
          <w:rFonts w:ascii="Verdana" w:hAnsi="Verdana"/>
          <w:sz w:val="20"/>
          <w:szCs w:val="20"/>
          <w:u w:val="thick"/>
        </w:rPr>
        <w:t>necesse</w:t>
      </w:r>
      <w:proofErr w:type="spellEnd"/>
      <w:r w:rsidRPr="002B6028">
        <w:rPr>
          <w:rFonts w:ascii="Verdana" w:hAnsi="Verdana"/>
          <w:sz w:val="20"/>
          <w:szCs w:val="20"/>
        </w:rPr>
        <w:t>[</w:t>
      </w:r>
      <w:proofErr w:type="gramEnd"/>
      <w:r w:rsidRPr="002B6028">
        <w:rPr>
          <w:rFonts w:ascii="Verdana" w:hAnsi="Verdana"/>
          <w:sz w:val="20"/>
          <w:szCs w:val="20"/>
        </w:rPr>
        <w:t xml:space="preserve">1] </w:t>
      </w:r>
      <w:proofErr w:type="spellStart"/>
      <w:r w:rsidRPr="002B6028">
        <w:rPr>
          <w:rFonts w:ascii="Verdana" w:hAnsi="Verdana"/>
          <w:sz w:val="20"/>
          <w:szCs w:val="20"/>
        </w:rPr>
        <w:t>est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pugnāre</w:t>
      </w:r>
      <w:proofErr w:type="spellEnd"/>
      <w:r w:rsidRPr="002B6028">
        <w:rPr>
          <w:rFonts w:ascii="Verdana" w:hAnsi="Verdana"/>
          <w:sz w:val="20"/>
          <w:szCs w:val="20"/>
        </w:rPr>
        <w:t xml:space="preserve">. </w:t>
      </w:r>
      <w:proofErr w:type="spellStart"/>
      <w:r w:rsidRPr="002B6028">
        <w:rPr>
          <w:rFonts w:ascii="Verdana" w:hAnsi="Verdana"/>
          <w:sz w:val="20"/>
          <w:szCs w:val="20"/>
        </w:rPr>
        <w:t>etiam</w:t>
      </w:r>
      <w:proofErr w:type="spellEnd"/>
      <w:r w:rsidRPr="002B6028">
        <w:rPr>
          <w:rFonts w:ascii="Verdana" w:hAnsi="Verdana"/>
          <w:sz w:val="20"/>
          <w:szCs w:val="20"/>
        </w:rPr>
        <w:t xml:space="preserve"> cum </w:t>
      </w:r>
      <w:proofErr w:type="spellStart"/>
      <w:r w:rsidRPr="002B6028">
        <w:rPr>
          <w:rFonts w:ascii="Verdana" w:hAnsi="Verdana"/>
          <w:sz w:val="20"/>
          <w:szCs w:val="20"/>
        </w:rPr>
        <w:t>Rōmānīs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laetae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proofErr w:type="spellStart"/>
      <w:r w:rsidRPr="002B6028">
        <w:rPr>
          <w:rFonts w:ascii="Verdana" w:hAnsi="Verdana"/>
          <w:sz w:val="20"/>
          <w:szCs w:val="20"/>
        </w:rPr>
        <w:t>esse</w:t>
      </w:r>
      <w:proofErr w:type="spellEnd"/>
      <w:r w:rsidRPr="002B6028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2B6028">
        <w:rPr>
          <w:rFonts w:ascii="Verdana" w:hAnsi="Verdana"/>
          <w:sz w:val="20"/>
          <w:szCs w:val="20"/>
        </w:rPr>
        <w:t>possumus</w:t>
      </w:r>
      <w:proofErr w:type="spellEnd"/>
      <w:r w:rsidRPr="002B6028">
        <w:rPr>
          <w:rFonts w:ascii="Verdana" w:hAnsi="Verdana"/>
          <w:sz w:val="20"/>
          <w:szCs w:val="20"/>
        </w:rPr>
        <w:t>.’</w:t>
      </w:r>
    </w:p>
    <w:p w14:paraId="773D0064" w14:textId="77777777" w:rsidR="00174379" w:rsidRDefault="00174379"/>
    <w:sectPr w:rsidR="001743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E732C" w14:textId="77777777" w:rsidR="00597565" w:rsidRDefault="00597565" w:rsidP="00597565">
      <w:pPr>
        <w:spacing w:after="0" w:line="240" w:lineRule="auto"/>
      </w:pPr>
      <w:r>
        <w:separator/>
      </w:r>
    </w:p>
  </w:endnote>
  <w:endnote w:type="continuationSeparator" w:id="0">
    <w:p w14:paraId="03A3F5E8" w14:textId="77777777" w:rsidR="00597565" w:rsidRDefault="00597565" w:rsidP="0059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C8D9" w14:textId="77777777" w:rsidR="00597565" w:rsidRDefault="00597565" w:rsidP="00597565">
      <w:pPr>
        <w:spacing w:after="0" w:line="240" w:lineRule="auto"/>
      </w:pPr>
      <w:r>
        <w:separator/>
      </w:r>
    </w:p>
  </w:footnote>
  <w:footnote w:type="continuationSeparator" w:id="0">
    <w:p w14:paraId="59658B03" w14:textId="77777777" w:rsidR="00597565" w:rsidRDefault="00597565" w:rsidP="0059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4A6E" w14:textId="77777777" w:rsidR="00597565" w:rsidRDefault="00597565" w:rsidP="00597565">
    <w:pPr>
      <w:pStyle w:val="Header"/>
      <w:tabs>
        <w:tab w:val="clear" w:pos="4513"/>
        <w:tab w:val="clear" w:pos="9026"/>
        <w:tab w:val="left" w:pos="5274"/>
      </w:tabs>
    </w:pPr>
    <w:r>
      <w:rPr>
        <w:rFonts w:ascii="Times New Roman" w:hAnsi="Times New Roman" w:cs="Times New Roman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4D4D34B5" wp14:editId="25EBE6A9">
          <wp:simplePos x="0" y="0"/>
          <wp:positionH relativeFrom="margin">
            <wp:align>right</wp:align>
          </wp:positionH>
          <wp:positionV relativeFrom="paragraph">
            <wp:posOffset>-141340</wp:posOffset>
          </wp:positionV>
          <wp:extent cx="3059430" cy="57785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omsbur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0F"/>
    <w:rsid w:val="00174379"/>
    <w:rsid w:val="002B6028"/>
    <w:rsid w:val="00597565"/>
    <w:rsid w:val="008C4EC3"/>
    <w:rsid w:val="008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DFA8F2"/>
  <w15:chartTrackingRefBased/>
  <w15:docId w15:val="{722788DA-A138-4D29-81E3-C6340160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65"/>
  </w:style>
  <w:style w:type="paragraph" w:styleId="Footer">
    <w:name w:val="footer"/>
    <w:basedOn w:val="Normal"/>
    <w:link w:val="FooterChar"/>
    <w:uiPriority w:val="99"/>
    <w:unhideWhenUsed/>
    <w:rsid w:val="0059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4299428BB3409D3B322C74C9AF09" ma:contentTypeVersion="15" ma:contentTypeDescription="Create a new document." ma:contentTypeScope="" ma:versionID="37937f4b9f0d42d8694e30ede002c056">
  <xsd:schema xmlns:xsd="http://www.w3.org/2001/XMLSchema" xmlns:xs="http://www.w3.org/2001/XMLSchema" xmlns:p="http://schemas.microsoft.com/office/2006/metadata/properties" xmlns:ns3="abd5af38-e0a1-4116-9d8c-3d86fdfb36b8" xmlns:ns4="3ffbb5b6-8b51-4a8f-bf94-19cfce3328a8" targetNamespace="http://schemas.microsoft.com/office/2006/metadata/properties" ma:root="true" ma:fieldsID="6defd48a36c74233266c15096f46c4ac" ns3:_="" ns4:_="">
    <xsd:import namespace="abd5af38-e0a1-4116-9d8c-3d86fdfb36b8"/>
    <xsd:import namespace="3ffbb5b6-8b51-4a8f-bf94-19cfce332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af38-e0a1-4116-9d8c-3d86fdfb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bb5b6-8b51-4a8f-bf94-19cfce332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d5af38-e0a1-4116-9d8c-3d86fdfb36b8" xsi:nil="true"/>
  </documentManagement>
</p:properties>
</file>

<file path=customXml/itemProps1.xml><?xml version="1.0" encoding="utf-8"?>
<ds:datastoreItem xmlns:ds="http://schemas.openxmlformats.org/officeDocument/2006/customXml" ds:itemID="{610A8382-6BF7-4DF3-A7B8-5DFA504CB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5af38-e0a1-4116-9d8c-3d86fdfb36b8"/>
    <ds:schemaRef ds:uri="3ffbb5b6-8b51-4a8f-bf94-19cfce332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90ED0-BB22-4498-B42F-680993272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51A0E-D340-471A-8B72-0A3FF27A351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3ffbb5b6-8b51-4a8f-bf94-19cfce3328a8"/>
    <ds:schemaRef ds:uri="abd5af38-e0a1-4116-9d8c-3d86fdfb36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Beardsworth</dc:creator>
  <cp:keywords/>
  <dc:description/>
  <cp:lastModifiedBy>Zoe Osman</cp:lastModifiedBy>
  <cp:revision>2</cp:revision>
  <dcterms:created xsi:type="dcterms:W3CDTF">2025-08-22T08:57:00Z</dcterms:created>
  <dcterms:modified xsi:type="dcterms:W3CDTF">2025-08-22T08:57:00Z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0x010100743B4299428BB3409D3B322C74C9AF09</vt:lpwstr>
  </property>
</Properties>
</file>