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941" w:rsidRPr="00F61BCF" w:rsidRDefault="00913941" w:rsidP="00DE3C0D">
      <w:pPr>
        <w:spacing w:after="0" w:line="480" w:lineRule="auto"/>
        <w:jc w:val="center"/>
        <w:rPr>
          <w:rFonts w:ascii="Arial" w:hAnsi="Arial" w:cs="Arial"/>
          <w:b/>
          <w:sz w:val="28"/>
          <w:szCs w:val="28"/>
        </w:rPr>
      </w:pPr>
      <w:r w:rsidRPr="00F61BCF">
        <w:rPr>
          <w:rFonts w:ascii="Arial" w:hAnsi="Arial" w:cs="Arial"/>
          <w:b/>
          <w:sz w:val="28"/>
          <w:szCs w:val="28"/>
        </w:rPr>
        <w:t xml:space="preserve">Exercise 1.1: </w:t>
      </w:r>
    </w:p>
    <w:p w:rsidR="00913941" w:rsidRPr="00F61BCF" w:rsidRDefault="00913941" w:rsidP="00DE3C0D">
      <w:pPr>
        <w:spacing w:after="0" w:line="480" w:lineRule="auto"/>
        <w:jc w:val="center"/>
        <w:rPr>
          <w:rFonts w:ascii="Arial" w:hAnsi="Arial" w:cs="Arial"/>
          <w:b/>
          <w:sz w:val="28"/>
          <w:szCs w:val="28"/>
        </w:rPr>
      </w:pPr>
      <w:r w:rsidRPr="00F61BCF">
        <w:rPr>
          <w:rFonts w:ascii="Arial" w:hAnsi="Arial" w:cs="Arial"/>
          <w:b/>
          <w:i/>
          <w:sz w:val="28"/>
          <w:szCs w:val="28"/>
        </w:rPr>
        <w:t>Work, Expression, Manifestation, or Item?</w:t>
      </w:r>
    </w:p>
    <w:p w:rsidR="00913941" w:rsidRPr="00F61BCF" w:rsidRDefault="00913941" w:rsidP="00F43D03">
      <w:pPr>
        <w:spacing w:after="0" w:line="360" w:lineRule="auto"/>
        <w:ind w:firstLine="720"/>
        <w:rPr>
          <w:rFonts w:ascii="Arial" w:hAnsi="Arial" w:cs="Arial"/>
          <w:i/>
          <w:sz w:val="24"/>
          <w:szCs w:val="24"/>
        </w:rPr>
      </w:pPr>
      <w:r w:rsidRPr="00F61BCF">
        <w:rPr>
          <w:rFonts w:ascii="Arial" w:hAnsi="Arial" w:cs="Arial"/>
          <w:i/>
          <w:sz w:val="24"/>
          <w:szCs w:val="24"/>
        </w:rPr>
        <w:t>Organize the following resources into works, expressions, manifestations, and items. Construct your answer either in diagram form or in a text outline. Examples of both methods are included in the section “Works, Expressions, Manifestations, and Items in Practice” on page 13 of the workbook.</w:t>
      </w:r>
    </w:p>
    <w:p w:rsidR="00913941" w:rsidRPr="00F61BCF" w:rsidRDefault="00913941" w:rsidP="00F43D03">
      <w:pPr>
        <w:spacing w:after="0" w:line="360" w:lineRule="auto"/>
        <w:ind w:firstLine="720"/>
        <w:rPr>
          <w:rFonts w:ascii="Arial" w:hAnsi="Arial" w:cs="Arial"/>
          <w:i/>
          <w:sz w:val="24"/>
          <w:szCs w:val="24"/>
        </w:rPr>
      </w:pPr>
      <w:r w:rsidRPr="00F61BCF">
        <w:rPr>
          <w:rFonts w:ascii="Arial" w:hAnsi="Arial" w:cs="Arial"/>
          <w:i/>
          <w:sz w:val="24"/>
          <w:szCs w:val="24"/>
        </w:rPr>
        <w:t>After completing your diagram or outline, explain the reasons behind your decisions. For instance, why do you consider Resource X a new work and not a new expression of the same work?</w:t>
      </w:r>
    </w:p>
    <w:p w:rsidR="00913941" w:rsidRPr="00F61BCF" w:rsidRDefault="00913941" w:rsidP="00F43D03">
      <w:pPr>
        <w:spacing w:after="0" w:line="360" w:lineRule="auto"/>
        <w:ind w:firstLine="720"/>
        <w:rPr>
          <w:rFonts w:ascii="Arial" w:hAnsi="Arial" w:cs="Arial"/>
          <w:i/>
          <w:sz w:val="24"/>
          <w:szCs w:val="24"/>
        </w:rPr>
      </w:pPr>
      <w:r w:rsidRPr="00F61BCF">
        <w:rPr>
          <w:rFonts w:ascii="Arial" w:hAnsi="Arial" w:cs="Arial"/>
          <w:i/>
          <w:sz w:val="24"/>
          <w:szCs w:val="24"/>
        </w:rPr>
        <w:t>Some hints as you begin:</w:t>
      </w:r>
    </w:p>
    <w:p w:rsidR="00913941" w:rsidRPr="00F61BCF" w:rsidRDefault="00913941" w:rsidP="00F43D03">
      <w:pPr>
        <w:spacing w:after="0" w:line="360" w:lineRule="auto"/>
        <w:ind w:firstLine="720"/>
        <w:rPr>
          <w:rFonts w:ascii="Arial" w:hAnsi="Arial" w:cs="Arial"/>
          <w:i/>
          <w:sz w:val="24"/>
          <w:szCs w:val="24"/>
        </w:rPr>
      </w:pPr>
    </w:p>
    <w:p w:rsidR="00913941" w:rsidRPr="00F61BCF" w:rsidRDefault="00913941" w:rsidP="00F43D03">
      <w:pPr>
        <w:spacing w:after="0" w:line="360" w:lineRule="auto"/>
        <w:ind w:left="1440" w:hanging="720"/>
        <w:rPr>
          <w:rFonts w:ascii="Arial" w:hAnsi="Arial" w:cs="Arial"/>
          <w:i/>
          <w:sz w:val="24"/>
          <w:szCs w:val="24"/>
        </w:rPr>
      </w:pPr>
      <w:r w:rsidRPr="00F61BCF">
        <w:rPr>
          <w:rFonts w:ascii="Arial" w:hAnsi="Arial" w:cs="Arial"/>
          <w:i/>
          <w:sz w:val="24"/>
          <w:szCs w:val="24"/>
        </w:rPr>
        <w:t>Decide if you will take a top-down approach (from works down to items) or instead operate from the bottom up (from items up to works).</w:t>
      </w:r>
    </w:p>
    <w:p w:rsidR="00913941" w:rsidRPr="00F61BCF" w:rsidRDefault="00913941" w:rsidP="00F43D03">
      <w:pPr>
        <w:spacing w:after="0" w:line="360" w:lineRule="auto"/>
        <w:ind w:left="1440" w:hanging="720"/>
        <w:rPr>
          <w:rFonts w:ascii="Arial" w:hAnsi="Arial" w:cs="Arial"/>
          <w:sz w:val="24"/>
          <w:szCs w:val="24"/>
        </w:rPr>
      </w:pPr>
      <w:r w:rsidRPr="00F61BCF">
        <w:rPr>
          <w:rFonts w:ascii="Arial" w:hAnsi="Arial" w:cs="Arial"/>
          <w:i/>
          <w:sz w:val="24"/>
          <w:szCs w:val="24"/>
        </w:rPr>
        <w:t>Group like things together.</w:t>
      </w:r>
    </w:p>
    <w:p w:rsidR="00913941" w:rsidRPr="00F61BCF" w:rsidRDefault="00913941" w:rsidP="00F43D03">
      <w:pPr>
        <w:spacing w:after="0" w:line="360" w:lineRule="auto"/>
        <w:ind w:left="1440" w:hanging="720"/>
        <w:rPr>
          <w:rFonts w:ascii="Arial" w:hAnsi="Arial" w:cs="Arial"/>
          <w:i/>
          <w:sz w:val="24"/>
          <w:szCs w:val="24"/>
        </w:rPr>
      </w:pPr>
      <w:r w:rsidRPr="00F61BCF">
        <w:rPr>
          <w:rFonts w:ascii="Arial" w:hAnsi="Arial" w:cs="Arial"/>
          <w:i/>
          <w:sz w:val="24"/>
          <w:szCs w:val="24"/>
        </w:rPr>
        <w:t>Pay attention to differences like print size, language, or performers.</w:t>
      </w:r>
    </w:p>
    <w:p w:rsidR="00913941" w:rsidRPr="00F61BCF" w:rsidRDefault="00913941" w:rsidP="00F43D03">
      <w:pPr>
        <w:spacing w:after="0" w:line="360" w:lineRule="auto"/>
        <w:ind w:left="1440" w:hanging="720"/>
        <w:rPr>
          <w:rFonts w:ascii="Arial" w:hAnsi="Arial" w:cs="Arial"/>
          <w:i/>
          <w:sz w:val="24"/>
          <w:szCs w:val="24"/>
        </w:rPr>
      </w:pPr>
      <w:r w:rsidRPr="00F61BCF">
        <w:rPr>
          <w:rFonts w:ascii="Arial" w:hAnsi="Arial" w:cs="Arial"/>
          <w:i/>
          <w:sz w:val="24"/>
          <w:szCs w:val="24"/>
        </w:rPr>
        <w:t>The following scenario includes 22 items.</w:t>
      </w:r>
    </w:p>
    <w:p w:rsidR="00913941" w:rsidRPr="00F61BCF" w:rsidRDefault="00913941" w:rsidP="00F43D03">
      <w:pPr>
        <w:spacing w:after="0" w:line="240" w:lineRule="auto"/>
        <w:ind w:left="1440" w:hanging="720"/>
        <w:rPr>
          <w:rFonts w:ascii="Arial" w:hAnsi="Arial" w:cs="Arial"/>
          <w:i/>
          <w:sz w:val="24"/>
          <w:szCs w:val="24"/>
        </w:rPr>
      </w:pPr>
    </w:p>
    <w:p w:rsidR="00913941" w:rsidRPr="00F61BCF" w:rsidRDefault="00913941" w:rsidP="00F43D03">
      <w:pPr>
        <w:spacing w:after="0" w:line="240" w:lineRule="auto"/>
        <w:contextualSpacing/>
        <w:jc w:val="center"/>
        <w:rPr>
          <w:rFonts w:ascii="Arial" w:hAnsi="Arial" w:cs="Arial"/>
          <w:b/>
          <w:sz w:val="24"/>
          <w:szCs w:val="24"/>
        </w:rPr>
      </w:pPr>
    </w:p>
    <w:p w:rsidR="00913941" w:rsidRPr="00F61BCF" w:rsidRDefault="00913941" w:rsidP="00F43D03">
      <w:pPr>
        <w:spacing w:after="0" w:line="360" w:lineRule="auto"/>
        <w:contextualSpacing/>
        <w:rPr>
          <w:rFonts w:ascii="Arial" w:hAnsi="Arial" w:cs="Arial"/>
          <w:sz w:val="24"/>
          <w:szCs w:val="24"/>
        </w:rPr>
      </w:pPr>
      <w:r w:rsidRPr="00F61BCF">
        <w:rPr>
          <w:rFonts w:ascii="Arial" w:hAnsi="Arial" w:cs="Arial"/>
          <w:b/>
          <w:sz w:val="24"/>
          <w:szCs w:val="24"/>
        </w:rPr>
        <w:tab/>
      </w:r>
      <w:r w:rsidRPr="00F61BCF">
        <w:rPr>
          <w:rFonts w:ascii="Arial" w:hAnsi="Arial" w:cs="Arial"/>
          <w:sz w:val="24"/>
          <w:szCs w:val="24"/>
        </w:rPr>
        <w:t xml:space="preserve">Your library has three copies of C. S. Lewis’s </w:t>
      </w:r>
      <w:r w:rsidRPr="00F61BCF">
        <w:rPr>
          <w:rFonts w:ascii="Arial" w:hAnsi="Arial" w:cs="Arial"/>
          <w:i/>
          <w:sz w:val="24"/>
          <w:szCs w:val="24"/>
        </w:rPr>
        <w:t>The Lion, the Witch, and the Wardrobe</w:t>
      </w:r>
      <w:r w:rsidRPr="00F61BCF">
        <w:rPr>
          <w:rFonts w:ascii="Arial" w:hAnsi="Arial" w:cs="Arial"/>
          <w:sz w:val="24"/>
          <w:szCs w:val="24"/>
        </w:rPr>
        <w:t xml:space="preserve"> published in 1994 as a paperback book by HarperCollins. The book includes illustrations by Pauline Baynes. Two copies are housed in the Young Adult Fiction Collection, with the third in the Adult Fiction Collection.</w:t>
      </w:r>
    </w:p>
    <w:p w:rsidR="00913941" w:rsidRPr="00F61BCF" w:rsidRDefault="00913941" w:rsidP="00F43D03">
      <w:pPr>
        <w:spacing w:after="0" w:line="360" w:lineRule="auto"/>
        <w:contextualSpacing/>
        <w:rPr>
          <w:rFonts w:ascii="Arial" w:hAnsi="Arial" w:cs="Arial"/>
          <w:sz w:val="24"/>
          <w:szCs w:val="24"/>
        </w:rPr>
      </w:pPr>
      <w:r w:rsidRPr="00F61BCF">
        <w:rPr>
          <w:rFonts w:ascii="Arial" w:hAnsi="Arial" w:cs="Arial"/>
          <w:sz w:val="24"/>
          <w:szCs w:val="24"/>
        </w:rPr>
        <w:tab/>
        <w:t xml:space="preserve">Library patrons may access two downloadable audiobooks of </w:t>
      </w:r>
      <w:r w:rsidRPr="00F61BCF">
        <w:rPr>
          <w:rFonts w:ascii="Arial" w:hAnsi="Arial" w:cs="Arial"/>
          <w:i/>
          <w:sz w:val="24"/>
          <w:szCs w:val="24"/>
        </w:rPr>
        <w:t>The Lion, the Witch, and the Wardrobe</w:t>
      </w:r>
      <w:r w:rsidRPr="00F61BCF">
        <w:rPr>
          <w:rFonts w:ascii="Arial" w:hAnsi="Arial" w:cs="Arial"/>
          <w:sz w:val="24"/>
          <w:szCs w:val="24"/>
        </w:rPr>
        <w:t xml:space="preserve"> through the library website. Both are in English and unabridged. Released in 2005 by Harper Audio, one copy is read by Michael York. The other copy is read by a full cast from BBC radio and was released by BBC Audiobooks in 2006.</w:t>
      </w:r>
    </w:p>
    <w:p w:rsidR="00913941" w:rsidRPr="00F61BCF" w:rsidRDefault="00913941" w:rsidP="00F43D03">
      <w:pPr>
        <w:spacing w:after="0" w:line="360" w:lineRule="auto"/>
        <w:contextualSpacing/>
        <w:rPr>
          <w:rFonts w:ascii="Arial" w:hAnsi="Arial" w:cs="Arial"/>
          <w:sz w:val="24"/>
          <w:szCs w:val="24"/>
        </w:rPr>
      </w:pPr>
      <w:r w:rsidRPr="00F61BCF">
        <w:rPr>
          <w:rFonts w:ascii="Arial" w:hAnsi="Arial" w:cs="Arial"/>
          <w:sz w:val="24"/>
          <w:szCs w:val="24"/>
        </w:rPr>
        <w:tab/>
        <w:t xml:space="preserve">The young adult librarian hosts a weekly game night at the library. Because the video game </w:t>
      </w:r>
      <w:r w:rsidRPr="00F61BCF">
        <w:rPr>
          <w:rFonts w:ascii="Arial" w:hAnsi="Arial" w:cs="Arial"/>
          <w:i/>
          <w:sz w:val="24"/>
          <w:szCs w:val="24"/>
        </w:rPr>
        <w:t>The Chronicles of Narnia: The Lion, the Witch, and the Wardrobe</w:t>
      </w:r>
      <w:r w:rsidRPr="00F61BCF">
        <w:rPr>
          <w:rFonts w:ascii="Arial" w:hAnsi="Arial" w:cs="Arial"/>
          <w:sz w:val="24"/>
          <w:szCs w:val="24"/>
        </w:rPr>
        <w:t xml:space="preserve"> remains a perennial favorite of the gamers, the library’s copy on CD-ROMs remains in the Reserve Collection for in-library use only. Presented by Disney and Walden Media, the interactive multimedia game was released in 2005 by Buena Vista Games.</w:t>
      </w:r>
    </w:p>
    <w:p w:rsidR="00913941" w:rsidRPr="00F61BCF" w:rsidRDefault="00913941" w:rsidP="00F43D03">
      <w:pPr>
        <w:spacing w:after="0" w:line="360" w:lineRule="auto"/>
        <w:contextualSpacing/>
        <w:rPr>
          <w:rFonts w:ascii="Arial" w:hAnsi="Arial" w:cs="Arial"/>
          <w:sz w:val="24"/>
          <w:szCs w:val="24"/>
        </w:rPr>
      </w:pPr>
      <w:r w:rsidRPr="00F61BCF">
        <w:rPr>
          <w:rFonts w:ascii="Arial" w:hAnsi="Arial" w:cs="Arial"/>
          <w:sz w:val="24"/>
          <w:szCs w:val="24"/>
        </w:rPr>
        <w:tab/>
        <w:t xml:space="preserve">Last month, the library’s book club read </w:t>
      </w:r>
      <w:r w:rsidRPr="00F61BCF">
        <w:rPr>
          <w:rFonts w:ascii="Arial" w:hAnsi="Arial" w:cs="Arial"/>
          <w:i/>
          <w:sz w:val="24"/>
          <w:szCs w:val="24"/>
        </w:rPr>
        <w:t xml:space="preserve">The Lion, the Witch, and the Wardrobe. </w:t>
      </w:r>
      <w:r w:rsidRPr="00F61BCF">
        <w:rPr>
          <w:rFonts w:ascii="Arial" w:hAnsi="Arial" w:cs="Arial"/>
          <w:sz w:val="24"/>
          <w:szCs w:val="24"/>
        </w:rPr>
        <w:t xml:space="preserve">Some of the participants prefer large print books, so one copy is now in the Large Print Collection. The book was published in 1987 by Scholastic and includes the illustrations by Pauline Baynes. The book club leader requested a copy of </w:t>
      </w:r>
      <w:r w:rsidRPr="00F61BCF">
        <w:rPr>
          <w:rFonts w:ascii="Arial" w:hAnsi="Arial" w:cs="Arial"/>
          <w:i/>
          <w:sz w:val="24"/>
          <w:szCs w:val="24"/>
        </w:rPr>
        <w:t xml:space="preserve">A Reader’s Guide through the Wardrobe: Exploring C. S. Lewis’s Classic Story </w:t>
      </w:r>
      <w:r w:rsidRPr="00F61BCF">
        <w:rPr>
          <w:rFonts w:ascii="Arial" w:hAnsi="Arial" w:cs="Arial"/>
          <w:sz w:val="24"/>
          <w:szCs w:val="24"/>
        </w:rPr>
        <w:t>by Leland Ryken and Marjorie Lamp Mead. Published in 2005 by InterVarsity Press, one copy is now available in the Nonfiction Collection.</w:t>
      </w:r>
    </w:p>
    <w:p w:rsidR="00913941" w:rsidRPr="00F61BCF" w:rsidRDefault="00913941" w:rsidP="00F43D03">
      <w:pPr>
        <w:spacing w:after="0" w:line="360" w:lineRule="auto"/>
        <w:rPr>
          <w:rFonts w:ascii="Arial" w:hAnsi="Arial" w:cs="Arial"/>
          <w:sz w:val="24"/>
          <w:szCs w:val="24"/>
        </w:rPr>
      </w:pPr>
      <w:r w:rsidRPr="00F61BCF">
        <w:rPr>
          <w:rFonts w:ascii="Arial" w:hAnsi="Arial" w:cs="Arial"/>
          <w:sz w:val="24"/>
          <w:szCs w:val="24"/>
        </w:rPr>
        <w:tab/>
        <w:t xml:space="preserve">Your library includes many Spanish-language materials. HarperCollins published the Spanish translation of </w:t>
      </w:r>
      <w:r w:rsidRPr="00F61BCF">
        <w:rPr>
          <w:rFonts w:ascii="Arial" w:hAnsi="Arial" w:cs="Arial"/>
          <w:i/>
          <w:sz w:val="24"/>
          <w:szCs w:val="24"/>
        </w:rPr>
        <w:t>The Lion, the Witch, and the Wardrobe</w:t>
      </w:r>
      <w:r w:rsidRPr="00F61BCF">
        <w:rPr>
          <w:rFonts w:ascii="Arial" w:hAnsi="Arial" w:cs="Arial"/>
          <w:sz w:val="24"/>
          <w:szCs w:val="24"/>
        </w:rPr>
        <w:t xml:space="preserve"> by Teresa Mlawer in 2002 as both a printed book and an eBook. The Spanish Language Collection houses the printed book, and the eBook is accessible via the library website.</w:t>
      </w:r>
    </w:p>
    <w:p w:rsidR="00913941" w:rsidRPr="00F61BCF" w:rsidRDefault="00913941" w:rsidP="00F43D03">
      <w:pPr>
        <w:spacing w:after="0" w:line="360" w:lineRule="auto"/>
        <w:rPr>
          <w:rFonts w:ascii="Arial" w:hAnsi="Arial" w:cs="Arial"/>
          <w:sz w:val="24"/>
          <w:szCs w:val="24"/>
        </w:rPr>
      </w:pPr>
      <w:r w:rsidRPr="00F61BCF">
        <w:rPr>
          <w:rFonts w:ascii="Arial" w:hAnsi="Arial" w:cs="Arial"/>
          <w:sz w:val="24"/>
          <w:szCs w:val="24"/>
        </w:rPr>
        <w:tab/>
        <w:t xml:space="preserve">One of the treasures in Special Collections is a specially bound and embellished copy of </w:t>
      </w:r>
      <w:r w:rsidRPr="00F61BCF">
        <w:rPr>
          <w:rFonts w:ascii="Arial" w:hAnsi="Arial" w:cs="Arial"/>
          <w:i/>
          <w:sz w:val="24"/>
          <w:szCs w:val="24"/>
        </w:rPr>
        <w:t>The Lion, the Witch, and the Wardrobe</w:t>
      </w:r>
      <w:r w:rsidRPr="00F61BCF">
        <w:rPr>
          <w:rFonts w:ascii="Arial" w:hAnsi="Arial" w:cs="Arial"/>
          <w:sz w:val="24"/>
          <w:szCs w:val="24"/>
        </w:rPr>
        <w:t xml:space="preserve"> from 1950 published by Geoffrey Bles. This publication had Lewis’s original English text with illustrations by Pauline Baynes. Patrons can more easily access a second copy of the same 1950 publication available in the Reserve Collection.</w:t>
      </w:r>
    </w:p>
    <w:p w:rsidR="00913941" w:rsidRPr="00F61BCF" w:rsidRDefault="00913941" w:rsidP="00F43D03">
      <w:pPr>
        <w:spacing w:after="0" w:line="360" w:lineRule="auto"/>
        <w:rPr>
          <w:rFonts w:ascii="Arial" w:hAnsi="Arial" w:cs="Arial"/>
          <w:sz w:val="24"/>
          <w:szCs w:val="24"/>
        </w:rPr>
      </w:pPr>
      <w:r w:rsidRPr="00F61BCF">
        <w:rPr>
          <w:rFonts w:ascii="Arial" w:hAnsi="Arial" w:cs="Arial"/>
          <w:sz w:val="24"/>
          <w:szCs w:val="24"/>
        </w:rPr>
        <w:tab/>
        <w:t xml:space="preserve">Macmillan published C. S. Lewis’s </w:t>
      </w:r>
      <w:r w:rsidRPr="00F61BCF">
        <w:rPr>
          <w:rFonts w:ascii="Arial" w:hAnsi="Arial" w:cs="Arial"/>
          <w:i/>
          <w:sz w:val="24"/>
          <w:szCs w:val="24"/>
        </w:rPr>
        <w:t>The Lion, the Witch, and the Wardrobe</w:t>
      </w:r>
      <w:r w:rsidRPr="00F61BCF">
        <w:rPr>
          <w:rFonts w:ascii="Arial" w:hAnsi="Arial" w:cs="Arial"/>
          <w:sz w:val="24"/>
          <w:szCs w:val="24"/>
        </w:rPr>
        <w:t xml:space="preserve"> in 1950 and included the illustrations by Pauline Baynes. The library has two copies: one in the Adult Fiction Collection and one in Preservation due to a damaged back cover.</w:t>
      </w:r>
    </w:p>
    <w:p w:rsidR="00913941" w:rsidRPr="00F61BCF" w:rsidRDefault="00913941" w:rsidP="00F43D03">
      <w:pPr>
        <w:spacing w:after="0" w:line="360" w:lineRule="auto"/>
        <w:rPr>
          <w:rFonts w:ascii="Arial" w:hAnsi="Arial" w:cs="Arial"/>
          <w:sz w:val="24"/>
          <w:szCs w:val="24"/>
        </w:rPr>
      </w:pPr>
      <w:r w:rsidRPr="00F61BCF">
        <w:rPr>
          <w:rFonts w:ascii="Arial" w:hAnsi="Arial" w:cs="Arial"/>
          <w:sz w:val="24"/>
          <w:szCs w:val="24"/>
        </w:rPr>
        <w:tab/>
        <w:t xml:space="preserve">Capitalizing on the success of the weekly game night, the young adult librarian organized a showing of the movie </w:t>
      </w:r>
      <w:r w:rsidRPr="00F61BCF">
        <w:rPr>
          <w:rFonts w:ascii="Arial" w:hAnsi="Arial" w:cs="Arial"/>
          <w:i/>
          <w:sz w:val="24"/>
          <w:szCs w:val="24"/>
        </w:rPr>
        <w:t>The Chronicles of Narnia: The Lion, the Witch, and the Wardrobe</w:t>
      </w:r>
      <w:r w:rsidRPr="00F61BCF">
        <w:rPr>
          <w:rFonts w:ascii="Arial" w:hAnsi="Arial" w:cs="Arial"/>
          <w:sz w:val="24"/>
          <w:szCs w:val="24"/>
        </w:rPr>
        <w:t xml:space="preserve"> from Walt Disney Pictures and Walden Media. The library has a Blu-ray player and purchased a copy of the Blu-ray disc distributed by Buena Vista Home Entertainment in 2008. That copy is now available for loan in the Audiovisual Collection. For patrons who do not have a Blu-ray player at home, the Audiovisual Collection also includes two copies of the DVD distributed by Buena Vista Home Entertainment in 2005. In addition, a local film buff donated to Special Collections a set of the movie’s film reels and sound discs released in 2005 by Buena Vista Pictures.</w:t>
      </w:r>
    </w:p>
    <w:p w:rsidR="00913941" w:rsidRPr="00F61BCF" w:rsidRDefault="00913941" w:rsidP="00F43D03">
      <w:pPr>
        <w:spacing w:after="0" w:line="360" w:lineRule="auto"/>
        <w:rPr>
          <w:rFonts w:ascii="Arial" w:hAnsi="Arial" w:cs="Arial"/>
          <w:sz w:val="24"/>
          <w:szCs w:val="24"/>
        </w:rPr>
      </w:pPr>
      <w:r w:rsidRPr="00F61BCF">
        <w:rPr>
          <w:rFonts w:ascii="Arial" w:hAnsi="Arial" w:cs="Arial"/>
          <w:sz w:val="24"/>
          <w:szCs w:val="24"/>
        </w:rPr>
        <w:tab/>
        <w:t xml:space="preserve">The paperbacks of </w:t>
      </w:r>
      <w:r w:rsidRPr="00F61BCF">
        <w:rPr>
          <w:rFonts w:ascii="Arial" w:hAnsi="Arial" w:cs="Arial"/>
          <w:i/>
          <w:sz w:val="24"/>
          <w:szCs w:val="24"/>
        </w:rPr>
        <w:t xml:space="preserve">The Lion, the Witch, and the Wardrobe </w:t>
      </w:r>
      <w:r w:rsidRPr="00F61BCF">
        <w:rPr>
          <w:rFonts w:ascii="Arial" w:hAnsi="Arial" w:cs="Arial"/>
          <w:sz w:val="24"/>
          <w:szCs w:val="24"/>
        </w:rPr>
        <w:t>in the Young Adult Fiction Collection are showing wear. The acquisitions department procured one copy in a library binding published in 1994 by HarperCollins to add to the worn copies in the Young Adult Fiction Collection. The library binding book includes the illustrations by Pauline Baynes.</w:t>
      </w:r>
    </w:p>
    <w:p w:rsidR="00913941" w:rsidRPr="00F61BCF" w:rsidRDefault="00913941" w:rsidP="00F43D03">
      <w:pPr>
        <w:spacing w:after="0" w:line="360" w:lineRule="auto"/>
        <w:rPr>
          <w:rFonts w:ascii="Arial" w:hAnsi="Arial" w:cs="Arial"/>
          <w:b/>
          <w:sz w:val="24"/>
          <w:szCs w:val="24"/>
        </w:rPr>
      </w:pPr>
      <w:r w:rsidRPr="00F61BCF">
        <w:rPr>
          <w:rFonts w:ascii="Arial" w:hAnsi="Arial" w:cs="Arial"/>
          <w:sz w:val="24"/>
          <w:szCs w:val="24"/>
        </w:rPr>
        <w:tab/>
        <w:t xml:space="preserve">Patrons really enjoyed the downloadable audiobook of </w:t>
      </w:r>
      <w:r w:rsidRPr="00F61BCF">
        <w:rPr>
          <w:rFonts w:ascii="Arial" w:hAnsi="Arial" w:cs="Arial"/>
          <w:i/>
          <w:sz w:val="24"/>
          <w:szCs w:val="24"/>
        </w:rPr>
        <w:t>The Lion, the Witch, and the Wardrobe</w:t>
      </w:r>
      <w:r w:rsidRPr="00F61BCF">
        <w:rPr>
          <w:rFonts w:ascii="Arial" w:hAnsi="Arial" w:cs="Arial"/>
          <w:sz w:val="24"/>
          <w:szCs w:val="24"/>
        </w:rPr>
        <w:t xml:space="preserve"> performed by Michael York. However, some library patrons do not have Internet access at home or the equipment needed to listen to a downloadable audiobook. They can now experience Michael York’s performance by checking out either the Playaway or CD version. The Audiovisual Collection includes two copies of the CDs, released in 2006 by HarperCollins, and one copy of the Playaway, released in 2007 by Playaway Digital Audio.</w:t>
      </w:r>
    </w:p>
    <w:p w:rsidR="00913941" w:rsidRPr="00F61BCF" w:rsidRDefault="00913941" w:rsidP="00F43D03">
      <w:pPr>
        <w:spacing w:line="360" w:lineRule="auto"/>
        <w:rPr>
          <w:rFonts w:ascii="Arial" w:hAnsi="Arial" w:cs="Arial"/>
        </w:rPr>
      </w:pPr>
    </w:p>
    <w:sectPr w:rsidR="00913941" w:rsidRPr="00F61BCF" w:rsidSect="00283F13">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941" w:rsidRDefault="00913941">
      <w:r>
        <w:separator/>
      </w:r>
    </w:p>
  </w:endnote>
  <w:endnote w:type="continuationSeparator" w:id="0">
    <w:p w:rsidR="00913941" w:rsidRDefault="0091394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41" w:rsidRPr="00DE3C0D" w:rsidRDefault="00913941" w:rsidP="00DE3C0D">
    <w:pPr>
      <w:pStyle w:val="Footer"/>
      <w:jc w:val="center"/>
    </w:pPr>
    <w:r>
      <w:t xml:space="preserve">From </w:t>
    </w:r>
    <w:r>
      <w:rPr>
        <w:i/>
      </w:rPr>
      <w:t>The RDA Workbook: Learning the Basics of Resource Description and Access</w:t>
    </w:r>
    <w:r>
      <w:t xml:space="preserve">, Margaret Mering, Editor. </w:t>
    </w:r>
    <w:smartTag w:uri="urn:schemas-microsoft-com:office:smarttags" w:element="place">
      <w:smartTag w:uri="urn:schemas-microsoft-com:office:smarttags" w:element="City">
        <w:r>
          <w:t>Santa Barbara</w:t>
        </w:r>
      </w:smartTag>
      <w:r>
        <w:t xml:space="preserve">, </w:t>
      </w:r>
      <w:smartTag w:uri="urn:schemas-microsoft-com:office:smarttags" w:element="State">
        <w:r>
          <w:t>CA</w:t>
        </w:r>
      </w:smartTag>
    </w:smartTag>
    <w:r>
      <w:t>: Libraries Unlimited. Copyright © 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941" w:rsidRDefault="00913941">
      <w:r>
        <w:separator/>
      </w:r>
    </w:p>
  </w:footnote>
  <w:footnote w:type="continuationSeparator" w:id="0">
    <w:p w:rsidR="00913941" w:rsidRDefault="009139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E5E46"/>
    <w:multiLevelType w:val="hybridMultilevel"/>
    <w:tmpl w:val="7BC24C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6DF6"/>
    <w:rsid w:val="000479CC"/>
    <w:rsid w:val="000F7F65"/>
    <w:rsid w:val="001B76FE"/>
    <w:rsid w:val="001D1FFD"/>
    <w:rsid w:val="00227C7B"/>
    <w:rsid w:val="00283F13"/>
    <w:rsid w:val="0040196D"/>
    <w:rsid w:val="00442200"/>
    <w:rsid w:val="004E70B2"/>
    <w:rsid w:val="005025A5"/>
    <w:rsid w:val="00826DF6"/>
    <w:rsid w:val="00913941"/>
    <w:rsid w:val="0094512D"/>
    <w:rsid w:val="009C0575"/>
    <w:rsid w:val="00C645D7"/>
    <w:rsid w:val="00C87434"/>
    <w:rsid w:val="00CA00B7"/>
    <w:rsid w:val="00D66473"/>
    <w:rsid w:val="00DC0EE5"/>
    <w:rsid w:val="00DC1F2E"/>
    <w:rsid w:val="00DC5BC1"/>
    <w:rsid w:val="00DE3C0D"/>
    <w:rsid w:val="00E25FFF"/>
    <w:rsid w:val="00EB07A8"/>
    <w:rsid w:val="00F2055C"/>
    <w:rsid w:val="00F43D03"/>
    <w:rsid w:val="00F61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DF6"/>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26DF6"/>
    <w:pPr>
      <w:ind w:left="720"/>
      <w:contextualSpacing/>
    </w:pPr>
  </w:style>
  <w:style w:type="paragraph" w:styleId="BalloonText">
    <w:name w:val="Balloon Text"/>
    <w:basedOn w:val="Normal"/>
    <w:link w:val="BalloonTextChar"/>
    <w:uiPriority w:val="99"/>
    <w:semiHidden/>
    <w:rsid w:val="00D66473"/>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locked/>
    <w:rsid w:val="00D66473"/>
    <w:rPr>
      <w:rFonts w:ascii="Arial" w:hAnsi="Arial" w:cs="Arial"/>
      <w:sz w:val="16"/>
      <w:szCs w:val="16"/>
    </w:rPr>
  </w:style>
  <w:style w:type="paragraph" w:styleId="Header">
    <w:name w:val="header"/>
    <w:basedOn w:val="Normal"/>
    <w:link w:val="HeaderChar"/>
    <w:uiPriority w:val="99"/>
    <w:rsid w:val="00DE3C0D"/>
    <w:pPr>
      <w:tabs>
        <w:tab w:val="center" w:pos="4320"/>
        <w:tab w:val="right" w:pos="8640"/>
      </w:tabs>
    </w:pPr>
  </w:style>
  <w:style w:type="character" w:customStyle="1" w:styleId="HeaderChar">
    <w:name w:val="Header Char"/>
    <w:basedOn w:val="DefaultParagraphFont"/>
    <w:link w:val="Header"/>
    <w:uiPriority w:val="99"/>
    <w:semiHidden/>
    <w:locked/>
    <w:rsid w:val="00DC5BC1"/>
    <w:rPr>
      <w:rFonts w:cs="Times New Roman"/>
    </w:rPr>
  </w:style>
  <w:style w:type="paragraph" w:styleId="Footer">
    <w:name w:val="footer"/>
    <w:basedOn w:val="Normal"/>
    <w:link w:val="FooterChar"/>
    <w:uiPriority w:val="99"/>
    <w:rsid w:val="00DE3C0D"/>
    <w:pPr>
      <w:tabs>
        <w:tab w:val="center" w:pos="4320"/>
        <w:tab w:val="right" w:pos="8640"/>
      </w:tabs>
    </w:pPr>
  </w:style>
  <w:style w:type="character" w:customStyle="1" w:styleId="FooterChar">
    <w:name w:val="Footer Char"/>
    <w:basedOn w:val="DefaultParagraphFont"/>
    <w:link w:val="Footer"/>
    <w:uiPriority w:val="99"/>
    <w:semiHidden/>
    <w:locked/>
    <w:rsid w:val="00DC5BC1"/>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74</TotalTime>
  <Pages>3</Pages>
  <Words>737</Words>
  <Characters>4207</Characters>
  <Application>Microsoft Office Outlook</Application>
  <DocSecurity>0</DocSecurity>
  <Lines>0</Lines>
  <Paragraphs>0</Paragraphs>
  <ScaleCrop>false</ScaleCrop>
  <Company>University of Nebraska-Lincoln Libraries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 Exercise 1</dc:title>
  <dc:subject/>
  <dc:creator>Melissa Moll</dc:creator>
  <cp:keywords/>
  <dc:description/>
  <cp:lastModifiedBy>ebailey</cp:lastModifiedBy>
  <cp:revision>8</cp:revision>
  <cp:lastPrinted>2013-05-13T15:14:00Z</cp:lastPrinted>
  <dcterms:created xsi:type="dcterms:W3CDTF">2013-12-13T15:18:00Z</dcterms:created>
  <dcterms:modified xsi:type="dcterms:W3CDTF">2013-12-16T19:49:00Z</dcterms:modified>
</cp:coreProperties>
</file>