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FE2A77" w:rsidP="00FE2A77">
      <w:pPr>
        <w:pStyle w:val="Heading2"/>
      </w:pPr>
      <w:r w:rsidRPr="00FE2A77">
        <w:t>FIGURE 2.6: Example of a listening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6298"/>
      </w:tblGrid>
      <w:tr w:rsidR="00FE2A77" w:rsidTr="00477A5C">
        <w:tc>
          <w:tcPr>
            <w:tcW w:w="1555" w:type="dxa"/>
          </w:tcPr>
          <w:p w:rsidR="00FE2A77" w:rsidRPr="00CF7AA4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6095" w:type="dxa"/>
          </w:tcPr>
          <w:p w:rsidR="00FE2A77" w:rsidRDefault="00FE2A77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6298" w:type="dxa"/>
          </w:tcPr>
          <w:p w:rsidR="00FE2A77" w:rsidRDefault="00FE2A77" w:rsidP="00477A5C">
            <w:pPr>
              <w:jc w:val="center"/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B</w:t>
            </w:r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>44 kilos</w:t>
            </w:r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>34 kilos</w:t>
            </w:r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avril</w:t>
            </w:r>
            <w:proofErr w:type="spellEnd"/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juillet</w:t>
            </w:r>
            <w:proofErr w:type="spellEnd"/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la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derni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è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re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naissance</w:t>
            </w:r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>la nouvelle naissance</w:t>
            </w:r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un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b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b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jaguar</w:t>
            </w:r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un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b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b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tigre</w:t>
            </w:r>
            <w:proofErr w:type="spellEnd"/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animaux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menac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s</w:t>
            </w:r>
            <w:proofErr w:type="spellEnd"/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animaux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sauvages</w:t>
            </w:r>
            <w:proofErr w:type="spellEnd"/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>parcs animaliers</w:t>
            </w:r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parcs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zoologiques</w:t>
            </w:r>
            <w:proofErr w:type="spellEnd"/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conservatoires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scientifiques</w:t>
            </w:r>
            <w:proofErr w:type="spellEnd"/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rFonts w:ascii="Avenir Next LT Pro" w:hAnsi="Avenir Next LT Pro"/>
                <w:sz w:val="40"/>
                <w:szCs w:val="40"/>
              </w:rPr>
              <w:t>c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onservatoires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g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n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tiques</w:t>
            </w:r>
            <w:proofErr w:type="spellEnd"/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la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biodiversit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</w:t>
            </w:r>
            <w:proofErr w:type="spellEnd"/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l’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écodiversité</w:t>
            </w:r>
            <w:proofErr w:type="spellEnd"/>
          </w:p>
        </w:tc>
      </w:tr>
      <w:tr w:rsidR="00FE2A77" w:rsidTr="00477A5C"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le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m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â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le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dominant</w:t>
            </w:r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le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m</w:t>
            </w:r>
            <w:r w:rsidRPr="003447A4">
              <w:rPr>
                <w:rFonts w:ascii="Avenir Next LT Pro" w:hAnsi="Avenir Next LT Pro" w:cs="Calibri"/>
                <w:sz w:val="40"/>
                <w:szCs w:val="40"/>
              </w:rPr>
              <w:t>â</w:t>
            </w:r>
            <w:r w:rsidRPr="003447A4">
              <w:rPr>
                <w:rFonts w:ascii="Avenir Next LT Pro" w:hAnsi="Avenir Next LT Pro"/>
                <w:sz w:val="40"/>
                <w:szCs w:val="40"/>
              </w:rPr>
              <w:t>le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trop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vieux</w:t>
            </w:r>
            <w:proofErr w:type="spellEnd"/>
          </w:p>
        </w:tc>
      </w:tr>
      <w:tr w:rsidR="00FE2A77" w:rsidTr="00477A5C">
        <w:trPr>
          <w:trHeight w:val="269"/>
        </w:trPr>
        <w:tc>
          <w:tcPr>
            <w:tcW w:w="1555" w:type="dxa"/>
          </w:tcPr>
          <w:p w:rsidR="00FE2A77" w:rsidRDefault="00FE2A77" w:rsidP="00477A5C">
            <w:pPr>
              <w:rPr>
                <w:rFonts w:ascii="Avenir Next LT Pro" w:hAnsi="Avenir Next LT Pro"/>
                <w:b/>
                <w:bCs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6095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cinq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repas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par jour</w:t>
            </w:r>
          </w:p>
        </w:tc>
        <w:tc>
          <w:tcPr>
            <w:tcW w:w="6298" w:type="dxa"/>
          </w:tcPr>
          <w:p w:rsidR="00FE2A77" w:rsidRPr="003447A4" w:rsidRDefault="00FE2A77" w:rsidP="00477A5C">
            <w:pPr>
              <w:rPr>
                <w:rFonts w:ascii="Avenir Next LT Pro" w:hAnsi="Avenir Next LT Pro"/>
                <w:sz w:val="40"/>
                <w:szCs w:val="40"/>
              </w:rPr>
            </w:pPr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sept </w:t>
            </w:r>
            <w:proofErr w:type="spellStart"/>
            <w:r w:rsidRPr="003447A4">
              <w:rPr>
                <w:rFonts w:ascii="Avenir Next LT Pro" w:hAnsi="Avenir Next LT Pro"/>
                <w:sz w:val="40"/>
                <w:szCs w:val="40"/>
              </w:rPr>
              <w:t>repas</w:t>
            </w:r>
            <w:proofErr w:type="spellEnd"/>
            <w:r w:rsidRPr="003447A4">
              <w:rPr>
                <w:rFonts w:ascii="Avenir Next LT Pro" w:hAnsi="Avenir Next LT Pro"/>
                <w:sz w:val="40"/>
                <w:szCs w:val="40"/>
              </w:rPr>
              <w:t xml:space="preserve"> par jour</w:t>
            </w:r>
          </w:p>
        </w:tc>
      </w:tr>
    </w:tbl>
    <w:p w:rsidR="00FE2A77" w:rsidRDefault="00FE2A77" w:rsidP="00FE2A77"/>
    <w:p w:rsidR="00FE2A77" w:rsidRPr="00FE2A77" w:rsidRDefault="00FE2A77" w:rsidP="00FE2A77">
      <w:bookmarkStart w:id="0" w:name="_GoBack"/>
      <w:bookmarkEnd w:id="0"/>
    </w:p>
    <w:sectPr w:rsidR="00FE2A77" w:rsidRPr="00FE2A77" w:rsidSect="00FE2A7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A77" w:rsidRDefault="00FE2A77" w:rsidP="00FE2A77">
      <w:pPr>
        <w:spacing w:after="0" w:line="240" w:lineRule="auto"/>
      </w:pPr>
      <w:r>
        <w:separator/>
      </w:r>
    </w:p>
  </w:endnote>
  <w:endnote w:type="continuationSeparator" w:id="0">
    <w:p w:rsidR="00FE2A77" w:rsidRDefault="00FE2A77" w:rsidP="00FE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A77" w:rsidRDefault="00FE2A77">
    <w:pPr>
      <w:pStyle w:val="Footer"/>
    </w:pPr>
    <w:r>
      <w:rPr>
        <w:rFonts w:cstheme="minorHAnsi"/>
      </w:rPr>
      <w:t>©</w:t>
    </w:r>
    <w:r>
      <w:t>Silvia Bastow and Jennifer Wozniak-Rush</w:t>
    </w:r>
    <w:r w:rsidR="00E7694E">
      <w:t>, 2026</w:t>
    </w:r>
  </w:p>
  <w:p w:rsidR="00FE2A77" w:rsidRDefault="00FE2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A77" w:rsidRDefault="00FE2A77" w:rsidP="00FE2A77">
      <w:pPr>
        <w:spacing w:after="0" w:line="240" w:lineRule="auto"/>
      </w:pPr>
      <w:r>
        <w:separator/>
      </w:r>
    </w:p>
  </w:footnote>
  <w:footnote w:type="continuationSeparator" w:id="0">
    <w:p w:rsidR="00FE2A77" w:rsidRDefault="00FE2A77" w:rsidP="00FE2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77"/>
    <w:rsid w:val="000C020E"/>
    <w:rsid w:val="00E7694E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CC21"/>
  <w15:chartTrackingRefBased/>
  <w15:docId w15:val="{8D36CB12-3F22-4672-83AF-816EAC9A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A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E2A7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2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A7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A77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77"/>
  </w:style>
  <w:style w:type="paragraph" w:styleId="Footer">
    <w:name w:val="footer"/>
    <w:basedOn w:val="Normal"/>
    <w:link w:val="FooterChar"/>
    <w:uiPriority w:val="99"/>
    <w:unhideWhenUsed/>
    <w:rsid w:val="00FE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Bloomsbury Publishing Plc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2</cp:revision>
  <dcterms:created xsi:type="dcterms:W3CDTF">2026-01-05T16:07:00Z</dcterms:created>
  <dcterms:modified xsi:type="dcterms:W3CDTF">2026-01-05T16:10:00Z</dcterms:modified>
</cp:coreProperties>
</file>