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2D" w:rsidRPr="0041503A" w:rsidRDefault="003A612D" w:rsidP="003A612D">
      <w:pPr>
        <w:pStyle w:val="CommentText"/>
        <w:rPr>
          <w:rFonts w:ascii="Times New Roman" w:hAnsi="Times New Roman" w:cs="Times New Roman"/>
          <w:b/>
          <w:bCs/>
        </w:rPr>
      </w:pPr>
      <w:r w:rsidRPr="0041503A">
        <w:rPr>
          <w:rFonts w:ascii="Times New Roman" w:hAnsi="Times New Roman" w:cs="Times New Roman"/>
          <w:b/>
          <w:bCs/>
        </w:rPr>
        <w:t>What does “healthy” mean? (</w:t>
      </w:r>
      <w:r>
        <w:rPr>
          <w:rFonts w:ascii="Times New Roman" w:hAnsi="Times New Roman" w:cs="Times New Roman"/>
          <w:b/>
          <w:bCs/>
        </w:rPr>
        <w:t>E</w:t>
      </w:r>
      <w:r w:rsidRPr="0041503A">
        <w:rPr>
          <w:rFonts w:ascii="Times New Roman" w:hAnsi="Times New Roman" w:cs="Times New Roman"/>
          <w:b/>
          <w:bCs/>
        </w:rPr>
        <w:t>nd of chapter / dessert)</w:t>
      </w:r>
    </w:p>
    <w:p w:rsidR="003A612D" w:rsidRDefault="003A612D" w:rsidP="003A612D">
      <w:pPr>
        <w:pStyle w:val="CommentText"/>
        <w:rPr>
          <w:rFonts w:ascii="Times New Roman" w:hAnsi="Times New Roman" w:cs="Times New Roman"/>
        </w:rPr>
      </w:pPr>
    </w:p>
    <w:p w:rsidR="003A612D" w:rsidRDefault="003A612D" w:rsidP="003A612D">
      <w:pPr>
        <w:pStyle w:val="CommentText"/>
        <w:rPr>
          <w:rFonts w:ascii="Times New Roman" w:hAnsi="Times New Roman" w:cs="Times New Roman"/>
        </w:rPr>
      </w:pPr>
      <w:r>
        <w:rPr>
          <w:rFonts w:ascii="Times New Roman" w:hAnsi="Times New Roman" w:cs="Times New Roman"/>
        </w:rPr>
        <w:t>The goal of the Chapter 1 dessert is to interrogate the use of the word “healthy.” Engaging students in discussion on this topic is useful to engage students in critical thinking about definitions of health and wellness. Resources for teaching critical thinking are linked below. This activity can be accomplished individually or in groups, as a writing prompt or a discussion.</w:t>
      </w:r>
    </w:p>
    <w:p w:rsidR="003A612D" w:rsidRDefault="003A612D" w:rsidP="003A612D">
      <w:pPr>
        <w:pStyle w:val="CommentText"/>
        <w:rPr>
          <w:rFonts w:ascii="Times New Roman" w:hAnsi="Times New Roman" w:cs="Times New Roman"/>
        </w:rPr>
      </w:pPr>
    </w:p>
    <w:p w:rsidR="003A612D" w:rsidRDefault="003A612D" w:rsidP="003A612D">
      <w:pPr>
        <w:pStyle w:val="CommentText"/>
        <w:numPr>
          <w:ilvl w:val="0"/>
          <w:numId w:val="1"/>
        </w:numPr>
        <w:rPr>
          <w:rFonts w:ascii="Times New Roman" w:hAnsi="Times New Roman" w:cs="Times New Roman"/>
        </w:rPr>
      </w:pPr>
      <w:r>
        <w:rPr>
          <w:rFonts w:ascii="Times New Roman" w:hAnsi="Times New Roman" w:cs="Times New Roman"/>
        </w:rPr>
        <w:t xml:space="preserve">Students first work independently to define a “nutritionally-poor diet” and a “healthy” diet. </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 xml:space="preserve">Consider prompting students to write this down (either in their own notes or for later submission, be clear on expectations). </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 xml:space="preserve">Useful prompts for these two tasks include: </w:t>
      </w:r>
    </w:p>
    <w:p w:rsidR="003A612D" w:rsidRDefault="003A612D" w:rsidP="003A612D">
      <w:pPr>
        <w:pStyle w:val="CommentText"/>
        <w:numPr>
          <w:ilvl w:val="2"/>
          <w:numId w:val="1"/>
        </w:numPr>
        <w:rPr>
          <w:rFonts w:ascii="Times New Roman" w:hAnsi="Times New Roman" w:cs="Times New Roman"/>
        </w:rPr>
      </w:pPr>
      <w:r>
        <w:rPr>
          <w:rFonts w:ascii="Times New Roman" w:hAnsi="Times New Roman" w:cs="Times New Roman"/>
        </w:rPr>
        <w:t>How are a “nutritionally-poor” and a “healthy” diet different?</w:t>
      </w:r>
    </w:p>
    <w:p w:rsidR="003A612D" w:rsidRDefault="003A612D" w:rsidP="003A612D">
      <w:pPr>
        <w:pStyle w:val="CommentText"/>
        <w:numPr>
          <w:ilvl w:val="2"/>
          <w:numId w:val="1"/>
        </w:numPr>
        <w:rPr>
          <w:rFonts w:ascii="Times New Roman" w:hAnsi="Times New Roman" w:cs="Times New Roman"/>
        </w:rPr>
      </w:pPr>
      <w:r>
        <w:rPr>
          <w:rFonts w:ascii="Times New Roman" w:hAnsi="Times New Roman" w:cs="Times New Roman"/>
        </w:rPr>
        <w:t>What is an example of a “nutritionally-poor” diet? What about a “healthy” diet?</w:t>
      </w:r>
    </w:p>
    <w:p w:rsidR="003A612D" w:rsidRDefault="003A612D" w:rsidP="003A612D">
      <w:pPr>
        <w:pStyle w:val="CommentText"/>
        <w:numPr>
          <w:ilvl w:val="0"/>
          <w:numId w:val="1"/>
        </w:numPr>
        <w:rPr>
          <w:rFonts w:ascii="Times New Roman" w:hAnsi="Times New Roman" w:cs="Times New Roman"/>
        </w:rPr>
      </w:pPr>
      <w:r>
        <w:rPr>
          <w:rFonts w:ascii="Times New Roman" w:hAnsi="Times New Roman" w:cs="Times New Roman"/>
        </w:rPr>
        <w:t>Students then reflect on their “way of knowing” this information</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 xml:space="preserve">Challenge students to identify their biases (e.g. culture, from social media) in the ways they evaluate the quality of certain diets. </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Useful prompts include:</w:t>
      </w:r>
    </w:p>
    <w:p w:rsidR="003A612D" w:rsidRDefault="003A612D" w:rsidP="003A612D">
      <w:pPr>
        <w:pStyle w:val="CommentText"/>
        <w:numPr>
          <w:ilvl w:val="2"/>
          <w:numId w:val="1"/>
        </w:numPr>
        <w:rPr>
          <w:rFonts w:ascii="Times New Roman" w:hAnsi="Times New Roman" w:cs="Times New Roman"/>
        </w:rPr>
      </w:pPr>
      <w:r>
        <w:rPr>
          <w:rFonts w:ascii="Times New Roman" w:hAnsi="Times New Roman" w:cs="Times New Roman"/>
        </w:rPr>
        <w:t xml:space="preserve">How did I arrive at what I think about these two types of diets? </w:t>
      </w:r>
    </w:p>
    <w:p w:rsidR="003A612D" w:rsidRDefault="003A612D" w:rsidP="003A612D">
      <w:pPr>
        <w:pStyle w:val="CommentText"/>
        <w:numPr>
          <w:ilvl w:val="2"/>
          <w:numId w:val="1"/>
        </w:numPr>
        <w:rPr>
          <w:rFonts w:ascii="Times New Roman" w:hAnsi="Times New Roman" w:cs="Times New Roman"/>
        </w:rPr>
      </w:pPr>
      <w:r>
        <w:rPr>
          <w:rFonts w:ascii="Times New Roman" w:hAnsi="Times New Roman" w:cs="Times New Roman"/>
        </w:rPr>
        <w:t xml:space="preserve">What are my assumptions? Are they valid? </w:t>
      </w:r>
    </w:p>
    <w:p w:rsidR="003A612D" w:rsidRDefault="003A612D" w:rsidP="003A612D">
      <w:pPr>
        <w:pStyle w:val="CommentText"/>
        <w:numPr>
          <w:ilvl w:val="2"/>
          <w:numId w:val="1"/>
        </w:numPr>
        <w:rPr>
          <w:rFonts w:ascii="Times New Roman" w:hAnsi="Times New Roman" w:cs="Times New Roman"/>
        </w:rPr>
      </w:pPr>
      <w:r>
        <w:rPr>
          <w:rFonts w:ascii="Times New Roman" w:hAnsi="Times New Roman" w:cs="Times New Roman"/>
        </w:rPr>
        <w:t xml:space="preserve">What remaining questions do I have? </w:t>
      </w:r>
    </w:p>
    <w:p w:rsidR="003A612D" w:rsidRDefault="003A612D" w:rsidP="003A612D">
      <w:pPr>
        <w:pStyle w:val="CommentText"/>
        <w:numPr>
          <w:ilvl w:val="0"/>
          <w:numId w:val="1"/>
        </w:numPr>
        <w:rPr>
          <w:rFonts w:ascii="Times New Roman" w:hAnsi="Times New Roman" w:cs="Times New Roman"/>
        </w:rPr>
      </w:pPr>
      <w:r>
        <w:rPr>
          <w:rFonts w:ascii="Times New Roman" w:hAnsi="Times New Roman" w:cs="Times New Roman"/>
        </w:rPr>
        <w:t xml:space="preserve">The instructor can guide students in contrasting their perspectives and definitions with established guidelines </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 xml:space="preserve">e.g. World Health Organization: </w:t>
      </w:r>
      <w:hyperlink r:id="rId5" w:history="1">
        <w:r w:rsidRPr="002929CC">
          <w:rPr>
            <w:rStyle w:val="Hyperlink"/>
            <w:rFonts w:ascii="Times New Roman" w:hAnsi="Times New Roman" w:cs="Times New Roman"/>
          </w:rPr>
          <w:t>https://www.who.int/news-room/fact-sheets/detail/healthy-diet</w:t>
        </w:r>
      </w:hyperlink>
      <w:r>
        <w:rPr>
          <w:rFonts w:ascii="Times New Roman" w:hAnsi="Times New Roman" w:cs="Times New Roman"/>
        </w:rPr>
        <w:t xml:space="preserve"> </w:t>
      </w:r>
    </w:p>
    <w:p w:rsidR="003A612D" w:rsidRDefault="003A612D" w:rsidP="003A612D">
      <w:pPr>
        <w:pStyle w:val="CommentText"/>
        <w:numPr>
          <w:ilvl w:val="1"/>
          <w:numId w:val="1"/>
        </w:numPr>
        <w:rPr>
          <w:rFonts w:ascii="Times New Roman" w:hAnsi="Times New Roman" w:cs="Times New Roman"/>
        </w:rPr>
      </w:pPr>
      <w:r>
        <w:rPr>
          <w:rFonts w:ascii="Times New Roman" w:hAnsi="Times New Roman" w:cs="Times New Roman"/>
        </w:rPr>
        <w:t>Again, challenge students to identify shortfalls in their definition, biases, influences</w:t>
      </w:r>
    </w:p>
    <w:p w:rsidR="003A612D" w:rsidRDefault="003A612D" w:rsidP="003A612D">
      <w:pPr>
        <w:pStyle w:val="CommentText"/>
        <w:ind w:left="720"/>
        <w:rPr>
          <w:rFonts w:ascii="Times New Roman" w:hAnsi="Times New Roman" w:cs="Times New Roman"/>
        </w:rPr>
      </w:pPr>
    </w:p>
    <w:p w:rsidR="003A612D" w:rsidRDefault="003A612D" w:rsidP="003A612D">
      <w:pPr>
        <w:pStyle w:val="CommentText"/>
        <w:rPr>
          <w:rFonts w:ascii="Times New Roman" w:hAnsi="Times New Roman" w:cs="Times New Roman"/>
        </w:rPr>
      </w:pPr>
      <w:r>
        <w:rPr>
          <w:rFonts w:ascii="Times New Roman" w:hAnsi="Times New Roman" w:cs="Times New Roman"/>
        </w:rPr>
        <w:t xml:space="preserve">Ideally, these prompts provide proper warm up for the class to cooperatively devise an operationalization of a “healthy” or high-quality diet for use throughout the academic term. </w:t>
      </w:r>
    </w:p>
    <w:p w:rsidR="003A612D" w:rsidRDefault="003A612D" w:rsidP="003A612D">
      <w:pPr>
        <w:pStyle w:val="CommentText"/>
        <w:numPr>
          <w:ilvl w:val="0"/>
          <w:numId w:val="1"/>
        </w:numPr>
        <w:rPr>
          <w:rFonts w:ascii="Times New Roman" w:hAnsi="Times New Roman" w:cs="Times New Roman"/>
        </w:rPr>
      </w:pPr>
      <w:r>
        <w:rPr>
          <w:rFonts w:ascii="Times New Roman" w:hAnsi="Times New Roman" w:cs="Times New Roman"/>
        </w:rPr>
        <w:t xml:space="preserve">Instructor should be sure to reinforce the perspective of psychology in composing this definition. </w:t>
      </w:r>
    </w:p>
    <w:p w:rsidR="003A612D" w:rsidRDefault="003A612D" w:rsidP="003A612D">
      <w:pPr>
        <w:pStyle w:val="CommentText"/>
        <w:numPr>
          <w:ilvl w:val="0"/>
          <w:numId w:val="1"/>
        </w:numPr>
        <w:rPr>
          <w:rFonts w:ascii="Times New Roman" w:hAnsi="Times New Roman" w:cs="Times New Roman"/>
        </w:rPr>
      </w:pPr>
      <w:r>
        <w:rPr>
          <w:rFonts w:ascii="Times New Roman" w:hAnsi="Times New Roman" w:cs="Times New Roman"/>
        </w:rPr>
        <w:t xml:space="preserve">This enhances the </w:t>
      </w:r>
      <w:proofErr w:type="gramStart"/>
      <w:r>
        <w:rPr>
          <w:rFonts w:ascii="Times New Roman" w:hAnsi="Times New Roman" w:cs="Times New Roman"/>
        </w:rPr>
        <w:t>groups</w:t>
      </w:r>
      <w:proofErr w:type="gramEnd"/>
      <w:r>
        <w:rPr>
          <w:rFonts w:ascii="Times New Roman" w:hAnsi="Times New Roman" w:cs="Times New Roman"/>
        </w:rPr>
        <w:t xml:space="preserve"> collective critical thinking and serves as a buffer against opinions about personal nutrition that commonly emerge during this course. </w:t>
      </w:r>
    </w:p>
    <w:p w:rsidR="003A612D" w:rsidRDefault="003A612D" w:rsidP="003A612D">
      <w:pPr>
        <w:rPr>
          <w:rFonts w:ascii="Times New Roman" w:hAnsi="Times New Roman" w:cs="Times New Roman"/>
        </w:rPr>
      </w:pPr>
    </w:p>
    <w:p w:rsidR="003A612D" w:rsidRPr="00C823E1" w:rsidRDefault="003A612D" w:rsidP="003A612D">
      <w:pPr>
        <w:rPr>
          <w:rFonts w:ascii="Times New Roman" w:hAnsi="Times New Roman" w:cs="Times New Roman"/>
          <w:b/>
          <w:bCs/>
          <w:sz w:val="20"/>
          <w:szCs w:val="20"/>
        </w:rPr>
      </w:pPr>
      <w:r w:rsidRPr="00C823E1">
        <w:rPr>
          <w:rFonts w:ascii="Times New Roman" w:hAnsi="Times New Roman" w:cs="Times New Roman"/>
          <w:b/>
          <w:bCs/>
          <w:sz w:val="20"/>
          <w:szCs w:val="20"/>
        </w:rPr>
        <w:t xml:space="preserve">Resources to teach and promote critical thinking: </w:t>
      </w:r>
    </w:p>
    <w:p w:rsidR="003A612D" w:rsidRDefault="003A612D" w:rsidP="003A612D">
      <w:pPr>
        <w:rPr>
          <w:rFonts w:ascii="Times New Roman" w:hAnsi="Times New Roman" w:cs="Times New Roman"/>
          <w:sz w:val="20"/>
          <w:szCs w:val="20"/>
        </w:rPr>
      </w:pPr>
    </w:p>
    <w:p w:rsidR="003A612D" w:rsidRPr="00190F46" w:rsidRDefault="003A612D" w:rsidP="003A612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Scholarly references</w:t>
      </w:r>
    </w:p>
    <w:p w:rsidR="003A612D" w:rsidRDefault="003A612D" w:rsidP="003A612D">
      <w:pPr>
        <w:spacing w:before="120"/>
        <w:rPr>
          <w:rFonts w:ascii="Times New Roman" w:hAnsi="Times New Roman" w:cs="Times New Roman"/>
          <w:sz w:val="20"/>
          <w:szCs w:val="20"/>
        </w:rPr>
      </w:pPr>
      <w:r>
        <w:rPr>
          <w:rFonts w:ascii="Times New Roman" w:hAnsi="Times New Roman" w:cs="Times New Roman"/>
          <w:sz w:val="20"/>
          <w:szCs w:val="20"/>
        </w:rPr>
        <w:t>Behar-</w:t>
      </w:r>
      <w:proofErr w:type="spellStart"/>
      <w:r>
        <w:rPr>
          <w:rFonts w:ascii="Times New Roman" w:hAnsi="Times New Roman" w:cs="Times New Roman"/>
          <w:sz w:val="20"/>
          <w:szCs w:val="20"/>
        </w:rPr>
        <w:t>Horenstein</w:t>
      </w:r>
      <w:proofErr w:type="spellEnd"/>
      <w:r>
        <w:rPr>
          <w:rFonts w:ascii="Times New Roman" w:hAnsi="Times New Roman" w:cs="Times New Roman"/>
          <w:sz w:val="20"/>
          <w:szCs w:val="20"/>
        </w:rPr>
        <w:t xml:space="preserve">, L.S. &amp; L. </w:t>
      </w:r>
      <w:proofErr w:type="spellStart"/>
      <w:r>
        <w:rPr>
          <w:rFonts w:ascii="Times New Roman" w:hAnsi="Times New Roman" w:cs="Times New Roman"/>
          <w:sz w:val="20"/>
          <w:szCs w:val="20"/>
        </w:rPr>
        <w:t>Niu</w:t>
      </w:r>
      <w:proofErr w:type="spellEnd"/>
      <w:r>
        <w:rPr>
          <w:rFonts w:ascii="Times New Roman" w:hAnsi="Times New Roman" w:cs="Times New Roman"/>
          <w:sz w:val="20"/>
          <w:szCs w:val="20"/>
        </w:rPr>
        <w:t xml:space="preserve"> (2011), ‘Teaching critical thinking skills in higher education: A review of the literature’, </w:t>
      </w:r>
      <w:r>
        <w:rPr>
          <w:rFonts w:ascii="Times New Roman" w:hAnsi="Times New Roman" w:cs="Times New Roman"/>
          <w:i/>
          <w:iCs/>
          <w:sz w:val="20"/>
          <w:szCs w:val="20"/>
        </w:rPr>
        <w:t xml:space="preserve">Journal of College Teaching and Learning, </w:t>
      </w:r>
      <w:r>
        <w:rPr>
          <w:rFonts w:ascii="Times New Roman" w:hAnsi="Times New Roman" w:cs="Times New Roman"/>
          <w:sz w:val="20"/>
          <w:szCs w:val="20"/>
        </w:rPr>
        <w:t>8(2): 25-41.</w:t>
      </w:r>
    </w:p>
    <w:p w:rsidR="003A612D" w:rsidRDefault="003A612D" w:rsidP="003A612D">
      <w:pPr>
        <w:spacing w:before="120"/>
        <w:rPr>
          <w:rFonts w:ascii="Times New Roman" w:hAnsi="Times New Roman" w:cs="Times New Roman"/>
          <w:sz w:val="20"/>
          <w:szCs w:val="20"/>
        </w:rPr>
      </w:pPr>
      <w:proofErr w:type="spellStart"/>
      <w:r>
        <w:rPr>
          <w:rFonts w:ascii="Times New Roman" w:hAnsi="Times New Roman" w:cs="Times New Roman"/>
          <w:sz w:val="20"/>
          <w:szCs w:val="20"/>
        </w:rPr>
        <w:t>Bensley</w:t>
      </w:r>
      <w:proofErr w:type="spellEnd"/>
      <w:r>
        <w:rPr>
          <w:rFonts w:ascii="Times New Roman" w:hAnsi="Times New Roman" w:cs="Times New Roman"/>
          <w:sz w:val="20"/>
          <w:szCs w:val="20"/>
        </w:rPr>
        <w:t xml:space="preserve">, D.A. et al. (2010), ‘Teaching and assessing critical thinking skills for argument analysis in college’, </w:t>
      </w:r>
      <w:r>
        <w:rPr>
          <w:rFonts w:ascii="Times New Roman" w:hAnsi="Times New Roman" w:cs="Times New Roman"/>
          <w:i/>
          <w:iCs/>
          <w:sz w:val="20"/>
          <w:szCs w:val="20"/>
        </w:rPr>
        <w:t xml:space="preserve">Teaching of Psychology, </w:t>
      </w:r>
      <w:r>
        <w:rPr>
          <w:rFonts w:ascii="Times New Roman" w:hAnsi="Times New Roman" w:cs="Times New Roman"/>
          <w:sz w:val="20"/>
          <w:szCs w:val="20"/>
        </w:rPr>
        <w:t>37: 91-96.</w:t>
      </w:r>
    </w:p>
    <w:p w:rsidR="003A612D" w:rsidRDefault="003A612D" w:rsidP="003A612D">
      <w:pPr>
        <w:spacing w:before="120"/>
        <w:rPr>
          <w:rFonts w:ascii="Times New Roman" w:hAnsi="Times New Roman" w:cs="Times New Roman"/>
          <w:sz w:val="20"/>
          <w:szCs w:val="20"/>
        </w:rPr>
      </w:pPr>
      <w:r>
        <w:rPr>
          <w:rFonts w:ascii="Times New Roman" w:hAnsi="Times New Roman" w:cs="Times New Roman"/>
          <w:sz w:val="20"/>
          <w:szCs w:val="20"/>
        </w:rPr>
        <w:t xml:space="preserve">Holmes, N.G., C.E. </w:t>
      </w:r>
      <w:proofErr w:type="spellStart"/>
      <w:r>
        <w:rPr>
          <w:rFonts w:ascii="Times New Roman" w:hAnsi="Times New Roman" w:cs="Times New Roman"/>
          <w:sz w:val="20"/>
          <w:szCs w:val="20"/>
        </w:rPr>
        <w:t>Wieman</w:t>
      </w:r>
      <w:proofErr w:type="spellEnd"/>
      <w:r>
        <w:rPr>
          <w:rFonts w:ascii="Times New Roman" w:hAnsi="Times New Roman" w:cs="Times New Roman"/>
          <w:sz w:val="20"/>
          <w:szCs w:val="20"/>
        </w:rPr>
        <w:t xml:space="preserve">, &amp; D.A. Bonn (2015), </w:t>
      </w:r>
      <w:proofErr w:type="gramStart"/>
      <w:r>
        <w:rPr>
          <w:rFonts w:ascii="Times New Roman" w:hAnsi="Times New Roman" w:cs="Times New Roman"/>
          <w:sz w:val="20"/>
          <w:szCs w:val="20"/>
        </w:rPr>
        <w:t>‘Teaching</w:t>
      </w:r>
      <w:proofErr w:type="gramEnd"/>
      <w:r>
        <w:rPr>
          <w:rFonts w:ascii="Times New Roman" w:hAnsi="Times New Roman" w:cs="Times New Roman"/>
          <w:sz w:val="20"/>
          <w:szCs w:val="20"/>
        </w:rPr>
        <w:t xml:space="preserve"> critical thinking’, </w:t>
      </w:r>
      <w:r>
        <w:rPr>
          <w:rFonts w:ascii="Times New Roman" w:hAnsi="Times New Roman" w:cs="Times New Roman"/>
          <w:i/>
          <w:iCs/>
          <w:sz w:val="20"/>
          <w:szCs w:val="20"/>
        </w:rPr>
        <w:t xml:space="preserve">PNAS, </w:t>
      </w:r>
      <w:r>
        <w:rPr>
          <w:rFonts w:ascii="Times New Roman" w:hAnsi="Times New Roman" w:cs="Times New Roman"/>
          <w:sz w:val="20"/>
          <w:szCs w:val="20"/>
        </w:rPr>
        <w:t>112(36): 11199-11204.</w:t>
      </w:r>
    </w:p>
    <w:p w:rsidR="003A612D" w:rsidRPr="00CE5936" w:rsidRDefault="003A612D" w:rsidP="003A612D">
      <w:pPr>
        <w:spacing w:before="120"/>
        <w:rPr>
          <w:rFonts w:ascii="Times New Roman" w:hAnsi="Times New Roman" w:cs="Times New Roman"/>
          <w:sz w:val="20"/>
          <w:szCs w:val="20"/>
        </w:rPr>
      </w:pPr>
      <w:proofErr w:type="spellStart"/>
      <w:r>
        <w:rPr>
          <w:rFonts w:ascii="Times New Roman" w:hAnsi="Times New Roman" w:cs="Times New Roman"/>
          <w:sz w:val="20"/>
          <w:szCs w:val="20"/>
        </w:rPr>
        <w:t>Loes</w:t>
      </w:r>
      <w:proofErr w:type="spellEnd"/>
      <w:r>
        <w:rPr>
          <w:rFonts w:ascii="Times New Roman" w:hAnsi="Times New Roman" w:cs="Times New Roman"/>
          <w:sz w:val="20"/>
          <w:szCs w:val="20"/>
        </w:rPr>
        <w:t xml:space="preserve">, C.N. &amp; E.T. </w:t>
      </w:r>
      <w:proofErr w:type="spellStart"/>
      <w:r>
        <w:rPr>
          <w:rFonts w:ascii="Times New Roman" w:hAnsi="Times New Roman" w:cs="Times New Roman"/>
          <w:sz w:val="20"/>
          <w:szCs w:val="20"/>
        </w:rPr>
        <w:t>Pascarella</w:t>
      </w:r>
      <w:proofErr w:type="spellEnd"/>
      <w:r>
        <w:rPr>
          <w:rFonts w:ascii="Times New Roman" w:hAnsi="Times New Roman" w:cs="Times New Roman"/>
          <w:sz w:val="20"/>
          <w:szCs w:val="20"/>
        </w:rPr>
        <w:t xml:space="preserve"> (2017), ‘Collaborative learning and critical thinking: Testing the link’, </w:t>
      </w:r>
      <w:r>
        <w:rPr>
          <w:rFonts w:ascii="Times New Roman" w:hAnsi="Times New Roman" w:cs="Times New Roman"/>
          <w:i/>
          <w:iCs/>
          <w:sz w:val="20"/>
          <w:szCs w:val="20"/>
        </w:rPr>
        <w:t xml:space="preserve">The Journal of Higher Education, </w:t>
      </w:r>
      <w:r>
        <w:rPr>
          <w:rFonts w:ascii="Times New Roman" w:hAnsi="Times New Roman" w:cs="Times New Roman"/>
          <w:sz w:val="20"/>
          <w:szCs w:val="20"/>
        </w:rPr>
        <w:t>88(5): 726-753.</w:t>
      </w:r>
    </w:p>
    <w:p w:rsidR="003A612D" w:rsidRPr="004A1340" w:rsidRDefault="003A612D" w:rsidP="003A612D">
      <w:pPr>
        <w:rPr>
          <w:rFonts w:ascii="Times New Roman" w:hAnsi="Times New Roman" w:cs="Times New Roman"/>
          <w:sz w:val="20"/>
          <w:szCs w:val="20"/>
        </w:rPr>
      </w:pPr>
    </w:p>
    <w:p w:rsidR="003A612D" w:rsidRPr="00190F46" w:rsidRDefault="003A612D" w:rsidP="003A612D">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Websites</w:t>
      </w:r>
    </w:p>
    <w:p w:rsidR="003A612D" w:rsidRDefault="003A612D" w:rsidP="003A612D">
      <w:pPr>
        <w:spacing w:before="120"/>
        <w:rPr>
          <w:rFonts w:ascii="Times New Roman" w:hAnsi="Times New Roman" w:cs="Times New Roman"/>
          <w:sz w:val="20"/>
          <w:szCs w:val="20"/>
        </w:rPr>
      </w:pPr>
      <w:r>
        <w:rPr>
          <w:rFonts w:ascii="Times New Roman" w:hAnsi="Times New Roman" w:cs="Times New Roman"/>
          <w:sz w:val="20"/>
          <w:szCs w:val="20"/>
        </w:rPr>
        <w:t xml:space="preserve">Promoting and assessing critical thinking: </w:t>
      </w:r>
      <w:hyperlink r:id="rId6" w:history="1">
        <w:r w:rsidRPr="002929CC">
          <w:rPr>
            <w:rStyle w:val="Hyperlink"/>
            <w:rFonts w:ascii="Times New Roman" w:hAnsi="Times New Roman" w:cs="Times New Roman"/>
            <w:sz w:val="20"/>
            <w:szCs w:val="20"/>
          </w:rPr>
          <w:t>https://uwaterloo.ca/centre-for-teaching-excellence/teaching-resources/teaching-tips/developing-assignments/cross-discipline-skills/promoting-assessing-critical-thinking</w:t>
        </w:r>
      </w:hyperlink>
      <w:r>
        <w:rPr>
          <w:rFonts w:ascii="Times New Roman" w:hAnsi="Times New Roman" w:cs="Times New Roman"/>
          <w:sz w:val="20"/>
          <w:szCs w:val="20"/>
        </w:rPr>
        <w:t xml:space="preserve"> </w:t>
      </w:r>
    </w:p>
    <w:p w:rsidR="003A612D" w:rsidRDefault="003A612D" w:rsidP="003A612D">
      <w:pPr>
        <w:spacing w:before="120"/>
        <w:rPr>
          <w:rFonts w:ascii="Times New Roman" w:hAnsi="Times New Roman" w:cs="Times New Roman"/>
          <w:sz w:val="20"/>
          <w:szCs w:val="20"/>
        </w:rPr>
      </w:pPr>
      <w:r>
        <w:rPr>
          <w:rFonts w:ascii="Times New Roman" w:hAnsi="Times New Roman" w:cs="Times New Roman"/>
          <w:sz w:val="20"/>
          <w:szCs w:val="20"/>
        </w:rPr>
        <w:t xml:space="preserve">Haber, J. (March 2, 2020), ‘It’s time to get serious about teaching critical thinking’, </w:t>
      </w:r>
      <w:r>
        <w:rPr>
          <w:rFonts w:ascii="Times New Roman" w:hAnsi="Times New Roman" w:cs="Times New Roman"/>
          <w:i/>
          <w:iCs/>
          <w:sz w:val="20"/>
          <w:szCs w:val="20"/>
        </w:rPr>
        <w:t xml:space="preserve">Inside Higher Ed, </w:t>
      </w:r>
      <w:r>
        <w:rPr>
          <w:rFonts w:ascii="Times New Roman" w:hAnsi="Times New Roman" w:cs="Times New Roman"/>
          <w:sz w:val="20"/>
          <w:szCs w:val="20"/>
        </w:rPr>
        <w:t xml:space="preserve">available at </w:t>
      </w:r>
      <w:hyperlink r:id="rId7" w:history="1">
        <w:r w:rsidRPr="002929CC">
          <w:rPr>
            <w:rStyle w:val="Hyperlink"/>
            <w:rFonts w:ascii="Times New Roman" w:hAnsi="Times New Roman" w:cs="Times New Roman"/>
            <w:sz w:val="20"/>
            <w:szCs w:val="20"/>
          </w:rPr>
          <w:t>https://www.insidehighered.com/views/2020/03/02/teaching-students-think-critically-opinion</w:t>
        </w:r>
      </w:hyperlink>
      <w:r>
        <w:rPr>
          <w:rFonts w:ascii="Times New Roman" w:hAnsi="Times New Roman" w:cs="Times New Roman"/>
          <w:sz w:val="20"/>
          <w:szCs w:val="20"/>
        </w:rPr>
        <w:t xml:space="preserve"> </w:t>
      </w:r>
    </w:p>
    <w:p w:rsidR="003F6F28" w:rsidRDefault="003A612D" w:rsidP="003A612D">
      <w:r>
        <w:rPr>
          <w:rFonts w:ascii="Times New Roman" w:hAnsi="Times New Roman" w:cs="Times New Roman"/>
          <w:sz w:val="20"/>
          <w:szCs w:val="20"/>
        </w:rPr>
        <w:t>Willingham, D.T. (2020), ‘Ask a cognitive scientist: how can educators teach critical thinking?</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 xml:space="preserve">American Educator, </w:t>
      </w:r>
      <w:r>
        <w:rPr>
          <w:rFonts w:ascii="Times New Roman" w:hAnsi="Times New Roman" w:cs="Times New Roman"/>
          <w:sz w:val="20"/>
          <w:szCs w:val="20"/>
        </w:rPr>
        <w:t xml:space="preserve">available at </w:t>
      </w:r>
      <w:hyperlink r:id="rId8" w:history="1">
        <w:r w:rsidRPr="002929CC">
          <w:rPr>
            <w:rStyle w:val="Hyperlink"/>
            <w:rFonts w:ascii="Times New Roman" w:hAnsi="Times New Roman" w:cs="Times New Roman"/>
            <w:sz w:val="20"/>
            <w:szCs w:val="20"/>
          </w:rPr>
          <w:t>https://www.aft.org/ae/fall2020/willingham</w:t>
        </w:r>
      </w:hyperlink>
      <w:bookmarkStart w:id="0" w:name="_GoBack"/>
      <w:bookmarkEnd w:id="0"/>
    </w:p>
    <w:sectPr w:rsidR="003F6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70369"/>
    <w:multiLevelType w:val="hybridMultilevel"/>
    <w:tmpl w:val="9090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E39C1"/>
    <w:multiLevelType w:val="hybridMultilevel"/>
    <w:tmpl w:val="B6F0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12"/>
    <w:rsid w:val="003A612D"/>
    <w:rsid w:val="003F6F28"/>
    <w:rsid w:val="0072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605B2-A2D0-4E42-A79B-D02B715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12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A612D"/>
    <w:rPr>
      <w:sz w:val="20"/>
      <w:szCs w:val="20"/>
    </w:rPr>
  </w:style>
  <w:style w:type="character" w:customStyle="1" w:styleId="CommentTextChar">
    <w:name w:val="Comment Text Char"/>
    <w:basedOn w:val="DefaultParagraphFont"/>
    <w:link w:val="CommentText"/>
    <w:uiPriority w:val="99"/>
    <w:rsid w:val="003A612D"/>
    <w:rPr>
      <w:sz w:val="20"/>
      <w:szCs w:val="20"/>
      <w:lang w:val="en-US"/>
    </w:rPr>
  </w:style>
  <w:style w:type="character" w:styleId="Hyperlink">
    <w:name w:val="Hyperlink"/>
    <w:basedOn w:val="DefaultParagraphFont"/>
    <w:uiPriority w:val="99"/>
    <w:unhideWhenUsed/>
    <w:rsid w:val="003A612D"/>
    <w:rPr>
      <w:color w:val="0563C1" w:themeColor="hyperlink"/>
      <w:u w:val="single"/>
    </w:rPr>
  </w:style>
  <w:style w:type="paragraph" w:styleId="ListParagraph">
    <w:name w:val="List Paragraph"/>
    <w:basedOn w:val="Normal"/>
    <w:uiPriority w:val="34"/>
    <w:qFormat/>
    <w:rsid w:val="003A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t.org/ae/fall2020/willingham" TargetMode="External"/><Relationship Id="rId3" Type="http://schemas.openxmlformats.org/officeDocument/2006/relationships/settings" Target="settings.xml"/><Relationship Id="rId7" Type="http://schemas.openxmlformats.org/officeDocument/2006/relationships/hyperlink" Target="https://www.insidehighered.com/views/2020/03/02/teaching-students-think-critically-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aterloo.ca/centre-for-teaching-excellence/teaching-resources/teaching-tips/developing-assignments/cross-discipline-skills/promoting-assessing-critical-thinking" TargetMode="External"/><Relationship Id="rId5" Type="http://schemas.openxmlformats.org/officeDocument/2006/relationships/hyperlink" Target="https://www.who.int/news-room/fact-sheets/detail/healthy-di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3105</Characters>
  <Application>Microsoft Office Word</Application>
  <DocSecurity>0</DocSecurity>
  <Lines>25</Lines>
  <Paragraphs>7</Paragraphs>
  <ScaleCrop>false</ScaleCrop>
  <Company>Bloomsbury Publishing Plc</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2021-05-25T09:48:00Z</dcterms:created>
  <dcterms:modified xsi:type="dcterms:W3CDTF">2021-05-25T09:48:00Z</dcterms:modified>
</cp:coreProperties>
</file>