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43" w:rsidRPr="00475508" w:rsidRDefault="003E4743" w:rsidP="003E474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75508">
        <w:rPr>
          <w:rFonts w:ascii="Times New Roman" w:hAnsi="Times New Roman" w:cs="Times New Roman"/>
          <w:b/>
          <w:bCs/>
          <w:sz w:val="20"/>
          <w:szCs w:val="20"/>
        </w:rPr>
        <w:t xml:space="preserve">Four </w:t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475508">
        <w:rPr>
          <w:rFonts w:ascii="Times New Roman" w:hAnsi="Times New Roman" w:cs="Times New Roman"/>
          <w:b/>
          <w:bCs/>
          <w:sz w:val="20"/>
          <w:szCs w:val="20"/>
        </w:rPr>
        <w:t xml:space="preserve">rumbs of </w:t>
      </w:r>
      <w:r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475508">
        <w:rPr>
          <w:rFonts w:ascii="Times New Roman" w:hAnsi="Times New Roman" w:cs="Times New Roman"/>
          <w:b/>
          <w:bCs/>
          <w:sz w:val="20"/>
          <w:szCs w:val="20"/>
        </w:rPr>
        <w:t xml:space="preserve">isdom: </w:t>
      </w:r>
      <w:r>
        <w:rPr>
          <w:rFonts w:ascii="Times New Roman" w:hAnsi="Times New Roman" w:cs="Times New Roman"/>
          <w:b/>
          <w:bCs/>
          <w:sz w:val="20"/>
          <w:szCs w:val="20"/>
        </w:rPr>
        <w:t>(end of Course 1)</w:t>
      </w:r>
    </w:p>
    <w:p w:rsidR="003E4743" w:rsidRDefault="003E4743" w:rsidP="003E4743">
      <w:pPr>
        <w:rPr>
          <w:rFonts w:ascii="Times New Roman" w:hAnsi="Times New Roman" w:cs="Times New Roman"/>
          <w:sz w:val="20"/>
          <w:szCs w:val="20"/>
        </w:rPr>
      </w:pPr>
    </w:p>
    <w:p w:rsidR="003E4743" w:rsidRDefault="003E4743" w:rsidP="003E47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These “four crumbs of wisdom” can be presented by the instructor to assist students in navigating the material in this chapter. Present them first at the end of Course 1 and elaborate on the connections made to each of these points in the previous instruction. The instructor can present them again at the end of the chapter to stimulate a review discussion with the class.  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3E4743" w:rsidRDefault="003E4743" w:rsidP="003E4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Everything</w:t>
      </w:r>
      <w:r w:rsidRPr="00990836">
        <w:rPr>
          <w:rFonts w:ascii="Times New Roman" w:hAnsi="Times New Roman" w:cs="Times New Roman"/>
          <w:sz w:val="20"/>
          <w:szCs w:val="20"/>
        </w:rPr>
        <w:t xml:space="preserve"> psychological is simultaneously biological, and the principles of complexity, adaptability, and integration explain the function of the nervous system. </w:t>
      </w:r>
    </w:p>
    <w:p w:rsidR="003E4743" w:rsidRDefault="003E4743" w:rsidP="003E4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 w:rsidRPr="00990836">
        <w:rPr>
          <w:rFonts w:ascii="Times New Roman" w:hAnsi="Times New Roman" w:cs="Times New Roman"/>
          <w:sz w:val="20"/>
          <w:szCs w:val="20"/>
        </w:rPr>
        <w:t xml:space="preserve"> nervous system is the fast chemical communication </w:t>
      </w:r>
      <w:r>
        <w:rPr>
          <w:rFonts w:ascii="Times New Roman" w:hAnsi="Times New Roman" w:cs="Times New Roman"/>
          <w:sz w:val="20"/>
          <w:szCs w:val="20"/>
        </w:rPr>
        <w:t xml:space="preserve">system </w:t>
      </w:r>
      <w:r w:rsidRPr="00990836">
        <w:rPr>
          <w:rFonts w:ascii="Times New Roman" w:hAnsi="Times New Roman" w:cs="Times New Roman"/>
          <w:sz w:val="20"/>
          <w:szCs w:val="20"/>
        </w:rPr>
        <w:t xml:space="preserve">of the body, and </w:t>
      </w:r>
      <w:r>
        <w:rPr>
          <w:rFonts w:ascii="Times New Roman" w:hAnsi="Times New Roman" w:cs="Times New Roman"/>
          <w:sz w:val="20"/>
          <w:szCs w:val="20"/>
        </w:rPr>
        <w:t>cooperates with</w:t>
      </w:r>
      <w:r w:rsidRPr="00990836">
        <w:rPr>
          <w:rFonts w:ascii="Times New Roman" w:hAnsi="Times New Roman" w:cs="Times New Roman"/>
          <w:sz w:val="20"/>
          <w:szCs w:val="20"/>
        </w:rPr>
        <w:t xml:space="preserve"> the slower and more sustained endocrine system</w:t>
      </w:r>
      <w:r>
        <w:rPr>
          <w:rFonts w:ascii="Times New Roman" w:hAnsi="Times New Roman" w:cs="Times New Roman"/>
          <w:sz w:val="20"/>
          <w:szCs w:val="20"/>
        </w:rPr>
        <w:t xml:space="preserve">. These systems intersect at the hypothalamus, a structure you will meet again in this chapter. </w:t>
      </w:r>
    </w:p>
    <w:p w:rsidR="003E4743" w:rsidRDefault="003E4743" w:rsidP="003E4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Eating and other goal-directed behaviors are best understood by applying multiple theories of motivation – eating requires instincts, produces the drive of hunger, and is persuaded by the pleasure of positive-incentives. </w:t>
      </w:r>
    </w:p>
    <w:p w:rsidR="003E4743" w:rsidRDefault="003E4743" w:rsidP="003E4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Eating is essential for survival, so you will find this system to be redundant and complex to </w:t>
      </w:r>
      <w:r w:rsidRPr="00C11815">
        <w:rPr>
          <w:rFonts w:ascii="Times New Roman" w:hAnsi="Times New Roman" w:cs="Times New Roman"/>
          <w:sz w:val="20"/>
          <w:szCs w:val="20"/>
        </w:rPr>
        <w:t xml:space="preserve">ensure we achieve ample nourishment. </w:t>
      </w:r>
    </w:p>
    <w:p w:rsidR="003E4743" w:rsidRDefault="003E4743" w:rsidP="003E474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3E4743" w:rsidRDefault="003E4743" w:rsidP="003E474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3E4743" w:rsidRPr="003E4743" w:rsidRDefault="003E474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E4743" w:rsidRPr="003E4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90348"/>
    <w:multiLevelType w:val="hybridMultilevel"/>
    <w:tmpl w:val="0C487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F5"/>
    <w:rsid w:val="003E4743"/>
    <w:rsid w:val="008C65F5"/>
    <w:rsid w:val="00EC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B3D7"/>
  <w15:chartTrackingRefBased/>
  <w15:docId w15:val="{C4D975E3-19ED-4EBE-87B7-C4F199AF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743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>Bloomsbury Publishing Plc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3</cp:revision>
  <dcterms:created xsi:type="dcterms:W3CDTF">2021-05-25T15:39:00Z</dcterms:created>
  <dcterms:modified xsi:type="dcterms:W3CDTF">2021-05-25T15:41:00Z</dcterms:modified>
</cp:coreProperties>
</file>