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86721B" w14:textId="77777777" w:rsidR="00174EE6" w:rsidRPr="00174EE6" w:rsidRDefault="00174EE6" w:rsidP="00174EE6">
      <w:pPr>
        <w:spacing w:before="100" w:beforeAutospacing="1" w:after="100" w:afterAutospacing="1"/>
        <w:outlineLvl w:val="0"/>
        <w:rPr>
          <w:rFonts w:ascii="Times New Roman" w:eastAsia="Times New Roman" w:hAnsi="Times New Roman" w:cs="Times New Roman"/>
          <w:b/>
          <w:bCs/>
          <w:kern w:val="36"/>
          <w:sz w:val="48"/>
          <w:szCs w:val="48"/>
          <w:lang w:eastAsia="en-GB"/>
        </w:rPr>
      </w:pPr>
      <w:r w:rsidRPr="00174EE6">
        <w:rPr>
          <w:rFonts w:ascii="Times New Roman" w:eastAsia="Times New Roman" w:hAnsi="Times New Roman" w:cs="Times New Roman"/>
          <w:b/>
          <w:bCs/>
          <w:kern w:val="36"/>
          <w:sz w:val="48"/>
          <w:szCs w:val="48"/>
          <w:lang w:eastAsia="en-GB"/>
        </w:rPr>
        <w:t xml:space="preserve">Further information on The Equality Act </w:t>
      </w:r>
    </w:p>
    <w:p w14:paraId="19D44A08" w14:textId="77777777" w:rsidR="00174EE6" w:rsidRPr="00174EE6" w:rsidRDefault="00174EE6" w:rsidP="00174EE6">
      <w:pPr>
        <w:spacing w:after="160" w:line="259" w:lineRule="auto"/>
        <w:contextualSpacing/>
        <w:rPr>
          <w:rFonts w:ascii="Calibri" w:eastAsia="Calibri" w:hAnsi="Calibri" w:cs="Calibri"/>
          <w:b/>
        </w:rPr>
      </w:pPr>
      <w:r w:rsidRPr="00174EE6">
        <w:rPr>
          <w:rFonts w:ascii="Calibri" w:eastAsia="Calibri" w:hAnsi="Calibri" w:cs="Calibri"/>
          <w:b/>
        </w:rPr>
        <w:t>Equality and Human Rights Commission</w:t>
      </w:r>
    </w:p>
    <w:p w14:paraId="0028CEAE" w14:textId="77777777" w:rsidR="00174EE6" w:rsidRPr="00174EE6" w:rsidRDefault="00174EE6" w:rsidP="00174EE6">
      <w:pPr>
        <w:spacing w:beforeAutospacing="1" w:after="100" w:afterAutospacing="1" w:line="312" w:lineRule="auto"/>
        <w:outlineLvl w:val="1"/>
        <w:rPr>
          <w:rFonts w:ascii="Calibri" w:eastAsia="Times New Roman" w:hAnsi="Calibri" w:cs="Calibri"/>
          <w:bCs/>
          <w:lang w:eastAsia="en-GB"/>
        </w:rPr>
      </w:pPr>
      <w:r w:rsidRPr="00174EE6">
        <w:rPr>
          <w:rFonts w:ascii="Calibri" w:eastAsia="Times New Roman" w:hAnsi="Calibri" w:cs="Calibri"/>
          <w:bCs/>
          <w:lang w:eastAsia="en-GB"/>
        </w:rPr>
        <w:t xml:space="preserve">Reasonable Adjustments for Disabled Pupils – </w:t>
      </w:r>
      <w:r w:rsidRPr="00174EE6">
        <w:rPr>
          <w:rFonts w:ascii="Calibri" w:eastAsia="Times New Roman" w:hAnsi="Calibri" w:cs="Calibri"/>
          <w:b/>
          <w:bCs/>
          <w:i/>
          <w:lang w:eastAsia="en-GB"/>
        </w:rPr>
        <w:t xml:space="preserve">Guidance for Schools in England </w:t>
      </w:r>
      <w:r w:rsidRPr="00174EE6">
        <w:rPr>
          <w:rFonts w:ascii="Calibri" w:eastAsia="Times New Roman" w:hAnsi="Calibri" w:cs="Calibri"/>
          <w:bCs/>
          <w:lang w:eastAsia="en-GB"/>
        </w:rPr>
        <w:t>(excerpts from the guidance)</w:t>
      </w:r>
    </w:p>
    <w:p w14:paraId="388D9E69" w14:textId="77777777" w:rsidR="00174EE6" w:rsidRPr="00174EE6" w:rsidRDefault="00174EE6" w:rsidP="00174EE6">
      <w:pPr>
        <w:spacing w:beforeAutospacing="1" w:after="100" w:afterAutospacing="1" w:line="312" w:lineRule="auto"/>
        <w:outlineLvl w:val="1"/>
        <w:rPr>
          <w:rFonts w:ascii="Calibri" w:eastAsia="Times New Roman" w:hAnsi="Calibri" w:cs="Calibri"/>
          <w:bCs/>
          <w:lang w:eastAsia="en-GB"/>
        </w:rPr>
      </w:pPr>
      <w:r w:rsidRPr="00174EE6">
        <w:rPr>
          <w:rFonts w:ascii="Calibri" w:eastAsia="Times New Roman" w:hAnsi="Calibri" w:cs="Calibri"/>
          <w:bCs/>
          <w:lang w:eastAsia="en-GB"/>
        </w:rPr>
        <w:t>Schools and education authorities have had a duty to provide reasonable adjustments for disabled pupils since 2002: originally, under the Disability Discrimination Act 1995 (the DDA 1995); and, from October 2010, under the Equality Act 2010.</w:t>
      </w:r>
    </w:p>
    <w:p w14:paraId="2C02FAA3" w14:textId="77777777" w:rsidR="00174EE6" w:rsidRPr="00174EE6" w:rsidRDefault="00174EE6" w:rsidP="00174EE6">
      <w:pPr>
        <w:numPr>
          <w:ilvl w:val="0"/>
          <w:numId w:val="1"/>
        </w:numPr>
        <w:spacing w:after="120" w:line="300" w:lineRule="auto"/>
        <w:rPr>
          <w:rFonts w:ascii="Calibri" w:eastAsia="Calibri" w:hAnsi="Calibri" w:cs="Calibri"/>
        </w:rPr>
      </w:pPr>
      <w:r w:rsidRPr="00174EE6">
        <w:rPr>
          <w:rFonts w:ascii="Calibri" w:eastAsia="Calibri" w:hAnsi="Calibri" w:cs="Calibri"/>
        </w:rPr>
        <w:t>This guide is for education authorities, governing bodies, head teachers, special educational needs co-ordinators (SENCOs) and staff at all primary and secondary schools (including academies and free schools), pupil referral units (PRUs), and independent schools, as well as for parents and disabled pupils.</w:t>
      </w:r>
    </w:p>
    <w:p w14:paraId="095614F0" w14:textId="77777777" w:rsidR="00174EE6" w:rsidRPr="00174EE6" w:rsidRDefault="00174EE6" w:rsidP="00174EE6">
      <w:pPr>
        <w:numPr>
          <w:ilvl w:val="0"/>
          <w:numId w:val="1"/>
        </w:numPr>
        <w:spacing w:after="120" w:line="312" w:lineRule="auto"/>
        <w:rPr>
          <w:rFonts w:ascii="Calibri" w:eastAsia="Calibri" w:hAnsi="Calibri" w:cs="Calibri"/>
        </w:rPr>
      </w:pPr>
      <w:r w:rsidRPr="00174EE6">
        <w:rPr>
          <w:rFonts w:ascii="Calibri" w:eastAsia="Calibri" w:hAnsi="Calibri" w:cs="Calibri"/>
        </w:rPr>
        <w:t>The duty to make reasonable adjustments requires a school to take positive steps to ensure that disabled pupils can fully participate in the education provided by the school, and that they can enjoy the other benefits, facilities and services that the school provides for pupils.</w:t>
      </w:r>
    </w:p>
    <w:p w14:paraId="466DE6DF" w14:textId="77777777" w:rsidR="00174EE6" w:rsidRPr="00174EE6" w:rsidRDefault="00174EE6" w:rsidP="00174EE6">
      <w:pPr>
        <w:numPr>
          <w:ilvl w:val="0"/>
          <w:numId w:val="1"/>
        </w:numPr>
        <w:spacing w:after="120" w:line="312" w:lineRule="auto"/>
        <w:rPr>
          <w:rFonts w:ascii="Calibri" w:eastAsia="Calibri" w:hAnsi="Calibri" w:cs="Calibri"/>
          <w:spacing w:val="-1"/>
        </w:rPr>
      </w:pPr>
      <w:r w:rsidRPr="00174EE6">
        <w:rPr>
          <w:rFonts w:ascii="Calibri" w:eastAsia="Calibri" w:hAnsi="Calibri" w:cs="Calibri"/>
          <w:spacing w:val="-1"/>
        </w:rPr>
        <w:t>Many reasonable adjustments are inexpensive and will often involve a change in practice rather than the provision of expensive pieces of equipment or additional staff.</w:t>
      </w:r>
    </w:p>
    <w:p w14:paraId="013ECEE2" w14:textId="77777777" w:rsidR="00174EE6" w:rsidRPr="00174EE6" w:rsidRDefault="00174EE6" w:rsidP="00174EE6">
      <w:pPr>
        <w:numPr>
          <w:ilvl w:val="0"/>
          <w:numId w:val="1"/>
        </w:numPr>
        <w:spacing w:after="120" w:line="312" w:lineRule="auto"/>
        <w:rPr>
          <w:rFonts w:ascii="Calibri" w:eastAsia="Calibri" w:hAnsi="Calibri" w:cs="Calibri"/>
          <w:b/>
          <w:bCs/>
          <w:color w:val="E36C0A"/>
          <w:lang w:eastAsia="en-GB"/>
        </w:rPr>
      </w:pPr>
      <w:r w:rsidRPr="00174EE6">
        <w:rPr>
          <w:rFonts w:ascii="Calibri" w:eastAsia="Calibri" w:hAnsi="Calibri" w:cs="Calibri"/>
        </w:rPr>
        <w:t>In practice, of course, many disabled pupils who also have an SEN statement or EHC plan will receive all of the support they need through the SEN framework and there will be nothing extra that the school has to do. However, some disabled pupils will not have SEN and some disabled pupils with SEN will still need reasonable adjustments to be made for them, in addition to any support that they receive through the SEN framework.</w:t>
      </w:r>
    </w:p>
    <w:p w14:paraId="61936DB8" w14:textId="77777777" w:rsidR="00174EE6" w:rsidRPr="00174EE6" w:rsidRDefault="00174EE6" w:rsidP="00174EE6">
      <w:pPr>
        <w:numPr>
          <w:ilvl w:val="0"/>
          <w:numId w:val="1"/>
        </w:numPr>
        <w:spacing w:after="120" w:line="312" w:lineRule="auto"/>
        <w:rPr>
          <w:rFonts w:ascii="Calibri" w:eastAsia="Calibri" w:hAnsi="Calibri" w:cs="Calibri"/>
        </w:rPr>
      </w:pPr>
      <w:r w:rsidRPr="00174EE6">
        <w:rPr>
          <w:rFonts w:ascii="Calibri" w:eastAsia="Calibri" w:hAnsi="Calibri" w:cs="Calibri"/>
        </w:rPr>
        <w:t xml:space="preserve">The crux of the reasonable adjustments duty is not whether something is an auxiliary aid or whether it is an adjustment to a practice, but whether it is something that is </w:t>
      </w:r>
      <w:r w:rsidRPr="00174EE6">
        <w:rPr>
          <w:rFonts w:ascii="Calibri" w:eastAsia="Calibri" w:hAnsi="Calibri" w:cs="Calibri"/>
          <w:b/>
          <w:color w:val="000000"/>
          <w:lang w:eastAsia="en-GB"/>
        </w:rPr>
        <w:t>reasonable</w:t>
      </w:r>
      <w:r w:rsidRPr="00174EE6">
        <w:rPr>
          <w:rFonts w:ascii="Calibri" w:eastAsia="Calibri" w:hAnsi="Calibri" w:cs="Calibri"/>
        </w:rPr>
        <w:t xml:space="preserve"> for the school to have to do. It is not possible for a school to justify a failure to make a reasonable adjustment; the question is only whether or not the adjustment is reasonable.</w:t>
      </w:r>
    </w:p>
    <w:p w14:paraId="6FE51FD5" w14:textId="77777777" w:rsidR="00174EE6" w:rsidRPr="00174EE6" w:rsidRDefault="00174EE6" w:rsidP="00174EE6">
      <w:pPr>
        <w:spacing w:after="100" w:line="312" w:lineRule="auto"/>
        <w:rPr>
          <w:rFonts w:ascii="Calibri" w:eastAsia="Calibri" w:hAnsi="Calibri" w:cs="Calibri"/>
          <w:b/>
          <w:color w:val="000000"/>
        </w:rPr>
      </w:pPr>
      <w:bookmarkStart w:id="0" w:name="_Toc335660577"/>
      <w:bookmarkStart w:id="1" w:name="_Toc359433241"/>
    </w:p>
    <w:p w14:paraId="44031A93" w14:textId="77777777" w:rsidR="00174EE6" w:rsidRPr="00174EE6" w:rsidRDefault="00174EE6" w:rsidP="00174EE6">
      <w:pPr>
        <w:spacing w:after="100" w:line="312" w:lineRule="auto"/>
        <w:rPr>
          <w:rFonts w:ascii="Calibri" w:eastAsia="Calibri" w:hAnsi="Calibri" w:cs="Calibri"/>
          <w:b/>
          <w:color w:val="000000"/>
        </w:rPr>
      </w:pPr>
      <w:r w:rsidRPr="00174EE6">
        <w:rPr>
          <w:rFonts w:ascii="Calibri" w:eastAsia="Calibri" w:hAnsi="Calibri" w:cs="Calibri"/>
          <w:b/>
          <w:color w:val="000000"/>
        </w:rPr>
        <w:t>Factors to be taken into account</w:t>
      </w:r>
      <w:bookmarkEnd w:id="0"/>
      <w:bookmarkEnd w:id="1"/>
    </w:p>
    <w:p w14:paraId="461F5E55" w14:textId="77777777" w:rsidR="00174EE6" w:rsidRPr="00174EE6" w:rsidRDefault="00174EE6" w:rsidP="00174EE6">
      <w:pPr>
        <w:spacing w:after="60" w:line="312" w:lineRule="auto"/>
        <w:rPr>
          <w:rFonts w:ascii="Calibri" w:eastAsia="Calibri" w:hAnsi="Calibri" w:cs="Calibri"/>
          <w:b/>
        </w:rPr>
      </w:pPr>
      <w:r w:rsidRPr="00174EE6">
        <w:rPr>
          <w:rFonts w:ascii="Calibri" w:eastAsia="Calibri" w:hAnsi="Calibri" w:cs="Calibri"/>
        </w:rPr>
        <w:lastRenderedPageBreak/>
        <w:t>Without intending to be exhaustive, the following are some of the factors that are likely to be taken into account when considering what adjustments it is reasonable for a school to have to make:</w:t>
      </w:r>
    </w:p>
    <w:p w14:paraId="3C72B00E"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extent to which special educational provision will be provided to the disabled pupil under Part 3 of the Children and Families Act 2014</w:t>
      </w:r>
    </w:p>
    <w:p w14:paraId="16D8E660"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resources of the school and the availability of financial or other assistance</w:t>
      </w:r>
    </w:p>
    <w:p w14:paraId="1A0AA9D3"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financial and other costs of making the adjustment</w:t>
      </w:r>
    </w:p>
    <w:p w14:paraId="2621B8EE"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extent to which taking any particular step would be effective in overcoming the substantial disadvantage suffered by a disabled pupil</w:t>
      </w:r>
    </w:p>
    <w:p w14:paraId="76C03B8E"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practicability of the adjustment</w:t>
      </w:r>
    </w:p>
    <w:p w14:paraId="47B9A029"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effect of the disability on the individual</w:t>
      </w:r>
    </w:p>
    <w:p w14:paraId="37421C30"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Health and safety requirements</w:t>
      </w:r>
    </w:p>
    <w:p w14:paraId="7E40285D" w14:textId="77777777" w:rsidR="00174EE6" w:rsidRPr="00174EE6" w:rsidRDefault="00174EE6" w:rsidP="00174EE6">
      <w:pPr>
        <w:snapToGrid w:val="0"/>
        <w:spacing w:after="40" w:line="312" w:lineRule="auto"/>
        <w:ind w:left="340" w:hanging="340"/>
        <w:rPr>
          <w:rFonts w:ascii="Calibri" w:eastAsia="Calibri" w:hAnsi="Calibri" w:cs="Calibri"/>
          <w:snapToGrid w:val="0"/>
        </w:rPr>
      </w:pPr>
      <w:r w:rsidRPr="00174EE6">
        <w:rPr>
          <w:rFonts w:ascii="Calibri" w:eastAsia="Calibri" w:hAnsi="Calibri" w:cs="Calibri"/>
          <w:snapToGrid w:val="0"/>
        </w:rPr>
        <w:t>The need to maintain academic, musical, sporting and other standards</w:t>
      </w:r>
    </w:p>
    <w:p w14:paraId="7E596A32" w14:textId="77777777" w:rsidR="00174EE6" w:rsidRPr="00174EE6" w:rsidRDefault="00174EE6" w:rsidP="00174EE6">
      <w:pPr>
        <w:numPr>
          <w:ilvl w:val="0"/>
          <w:numId w:val="2"/>
        </w:numPr>
        <w:snapToGrid w:val="0"/>
        <w:spacing w:after="420" w:line="312" w:lineRule="auto"/>
        <w:ind w:left="340" w:hanging="340"/>
        <w:rPr>
          <w:rFonts w:ascii="Calibri" w:eastAsia="Calibri" w:hAnsi="Calibri" w:cs="Calibri"/>
          <w:snapToGrid w:val="0"/>
        </w:rPr>
      </w:pPr>
      <w:r w:rsidRPr="00174EE6">
        <w:rPr>
          <w:rFonts w:ascii="Calibri" w:eastAsia="Calibri" w:hAnsi="Calibri" w:cs="Calibri"/>
          <w:snapToGrid w:val="0"/>
        </w:rPr>
        <w:t>The interests of other pupils and prospective pupils</w:t>
      </w:r>
    </w:p>
    <w:p w14:paraId="474C0E74" w14:textId="77777777" w:rsidR="00174EE6" w:rsidRPr="00174EE6" w:rsidRDefault="00174EE6" w:rsidP="00174EE6">
      <w:pPr>
        <w:spacing w:after="100" w:line="312" w:lineRule="auto"/>
        <w:rPr>
          <w:rFonts w:ascii="Calibri" w:eastAsia="Calibri" w:hAnsi="Calibri" w:cs="Calibri"/>
          <w:i/>
        </w:rPr>
      </w:pPr>
      <w:r w:rsidRPr="00174EE6">
        <w:rPr>
          <w:rFonts w:ascii="Calibri" w:eastAsia="Calibri" w:hAnsi="Calibri" w:cs="Calibri"/>
          <w:i/>
          <w:lang w:eastAsia="en-GB"/>
        </w:rPr>
        <w:t>The interests of other pupils and prospective pupils</w:t>
      </w:r>
    </w:p>
    <w:p w14:paraId="4BD34F95" w14:textId="77777777" w:rsidR="00174EE6" w:rsidRPr="00174EE6" w:rsidRDefault="00174EE6" w:rsidP="00174EE6">
      <w:pPr>
        <w:spacing w:after="280" w:line="312" w:lineRule="auto"/>
        <w:rPr>
          <w:rFonts w:ascii="Calibri" w:eastAsia="Calibri" w:hAnsi="Calibri" w:cs="Calibri"/>
        </w:rPr>
      </w:pPr>
      <w:r w:rsidRPr="00174EE6">
        <w:rPr>
          <w:rFonts w:ascii="Calibri" w:eastAsia="Calibri" w:hAnsi="Calibri" w:cs="Calibri"/>
        </w:rPr>
        <w:t xml:space="preserve">Ordinarily, the interests of other pupils regarding the reasonable adjustments required by a disabled pupil will be irrelevant. However, there are limited circumstances in which the provision of a particular reasonable adjustment for a disabled pupil will disadvantage other pupils. This is relevant only where the adjustment results in significant disadvantage for other pupils. In such a case, it may not be reasonable to expect the school to make the adjustment. </w:t>
      </w:r>
    </w:p>
    <w:p w14:paraId="04A0DFFF" w14:textId="77777777" w:rsidR="00174EE6" w:rsidRPr="00174EE6" w:rsidRDefault="00174EE6" w:rsidP="00174EE6">
      <w:pPr>
        <w:spacing w:after="280" w:line="312" w:lineRule="auto"/>
        <w:rPr>
          <w:rFonts w:ascii="Calibri" w:eastAsia="Calibri" w:hAnsi="Calibri" w:cs="Calibri"/>
          <w:b/>
        </w:rPr>
      </w:pPr>
      <w:r w:rsidRPr="00174EE6">
        <w:rPr>
          <w:rFonts w:ascii="Calibri" w:eastAsia="Calibri" w:hAnsi="Calibri" w:cs="Calibri"/>
          <w:b/>
        </w:rPr>
        <w:t xml:space="preserve">For full information, the guidance document, examples and questions and answers, follow this </w:t>
      </w:r>
      <w:hyperlink r:id="rId7" w:history="1">
        <w:r w:rsidRPr="00174EE6">
          <w:rPr>
            <w:rFonts w:ascii="Calibri" w:eastAsia="Calibri" w:hAnsi="Calibri" w:cs="Calibri"/>
            <w:b/>
            <w:color w:val="0000FF"/>
            <w:u w:val="single"/>
          </w:rPr>
          <w:t>link</w:t>
        </w:r>
      </w:hyperlink>
      <w:r w:rsidRPr="00174EE6">
        <w:rPr>
          <w:rFonts w:ascii="Calibri" w:eastAsia="Calibri" w:hAnsi="Calibri" w:cs="Calibri"/>
          <w:b/>
        </w:rPr>
        <w:t>.</w:t>
      </w:r>
    </w:p>
    <w:p w14:paraId="2ABDFD73" w14:textId="77777777" w:rsidR="00174EE6" w:rsidRPr="00174EE6" w:rsidRDefault="00174EE6" w:rsidP="00174EE6">
      <w:pPr>
        <w:spacing w:after="160" w:line="259" w:lineRule="auto"/>
        <w:rPr>
          <w:rFonts w:ascii="Calibri" w:eastAsia="Calibri" w:hAnsi="Calibri" w:cs="Calibri"/>
          <w:sz w:val="22"/>
          <w:szCs w:val="22"/>
        </w:rPr>
      </w:pPr>
    </w:p>
    <w:p w14:paraId="55B0E703" w14:textId="77777777" w:rsidR="00174EE6" w:rsidRPr="00174EE6" w:rsidRDefault="00174EE6" w:rsidP="00174EE6">
      <w:pPr>
        <w:spacing w:after="160" w:line="259" w:lineRule="auto"/>
        <w:rPr>
          <w:rFonts w:ascii="Calibri" w:eastAsia="Calibri" w:hAnsi="Calibri" w:cs="Calibri"/>
        </w:rPr>
      </w:pPr>
    </w:p>
    <w:p w14:paraId="7E9B4DCE" w14:textId="77777777" w:rsidR="00174EE6" w:rsidRPr="00174EE6" w:rsidRDefault="00174EE6" w:rsidP="00174EE6">
      <w:pPr>
        <w:spacing w:after="160" w:line="259" w:lineRule="auto"/>
        <w:rPr>
          <w:rFonts w:ascii="Calibri" w:eastAsia="Calibri" w:hAnsi="Calibri" w:cs="Calibri"/>
        </w:rPr>
      </w:pPr>
    </w:p>
    <w:p w14:paraId="2704D15F" w14:textId="77777777" w:rsidR="00174EE6" w:rsidRPr="00174EE6" w:rsidRDefault="00174EE6" w:rsidP="00174EE6">
      <w:pPr>
        <w:spacing w:after="280"/>
        <w:contextualSpacing/>
        <w:rPr>
          <w:rFonts w:ascii="Calibri" w:eastAsia="Calibri" w:hAnsi="Calibri" w:cs="Calibri"/>
          <w:sz w:val="18"/>
        </w:rPr>
      </w:pPr>
      <w:r w:rsidRPr="00174EE6">
        <w:rPr>
          <w:rFonts w:ascii="Calibri" w:eastAsia="Calibri" w:hAnsi="Calibri" w:cs="Calibri"/>
          <w:sz w:val="18"/>
        </w:rPr>
        <w:t>Full reference for this resource:</w:t>
      </w:r>
    </w:p>
    <w:p w14:paraId="7EE0F4F6" w14:textId="77777777" w:rsidR="00174EE6" w:rsidRPr="00174EE6" w:rsidRDefault="00174EE6" w:rsidP="00174EE6">
      <w:pPr>
        <w:spacing w:after="280"/>
        <w:contextualSpacing/>
        <w:rPr>
          <w:rFonts w:ascii="Arial" w:eastAsia="Calibri" w:hAnsi="Arial" w:cs="Calibri"/>
          <w:sz w:val="18"/>
        </w:rPr>
      </w:pPr>
      <w:r w:rsidRPr="00174EE6">
        <w:rPr>
          <w:rFonts w:ascii="Calibri" w:eastAsia="Calibri" w:hAnsi="Calibri" w:cs="Calibri"/>
          <w:sz w:val="18"/>
        </w:rPr>
        <w:t xml:space="preserve">Equality and Human Rights Commission (2015), </w:t>
      </w:r>
      <w:r w:rsidRPr="00174EE6">
        <w:rPr>
          <w:rFonts w:ascii="Calibri" w:eastAsia="Calibri" w:hAnsi="Calibri" w:cs="Calibri"/>
          <w:i/>
          <w:sz w:val="18"/>
        </w:rPr>
        <w:t>Reasonable Adjustments for Disabled Pupils – Guidance for Schools in England</w:t>
      </w:r>
      <w:r w:rsidRPr="00174EE6">
        <w:rPr>
          <w:rFonts w:ascii="Calibri" w:eastAsia="Calibri" w:hAnsi="Calibri" w:cs="Calibri"/>
          <w:sz w:val="18"/>
        </w:rPr>
        <w:t xml:space="preserve">. Available at: </w:t>
      </w:r>
      <w:hyperlink r:id="rId8" w:history="1">
        <w:r w:rsidRPr="00174EE6">
          <w:rPr>
            <w:rFonts w:ascii="Calibri" w:eastAsia="Calibri" w:hAnsi="Calibri" w:cs="Calibri"/>
            <w:color w:val="0000FF"/>
            <w:sz w:val="18"/>
            <w:u w:val="single"/>
          </w:rPr>
          <w:t>https://www.equalityhumanrights.com/sites/default/files/reasonable_adjustments_for_disabled_pupils_1.pdf</w:t>
        </w:r>
      </w:hyperlink>
      <w:r w:rsidRPr="00174EE6">
        <w:rPr>
          <w:rFonts w:ascii="Calibri" w:eastAsia="Calibri" w:hAnsi="Calibri" w:cs="Calibri"/>
          <w:sz w:val="18"/>
        </w:rPr>
        <w:t xml:space="preserve">. </w:t>
      </w:r>
    </w:p>
    <w:p w14:paraId="75418986" w14:textId="3681F1D6" w:rsidR="00F56312" w:rsidRDefault="00F56312"/>
    <w:sectPr w:rsidR="00F56312" w:rsidSect="00744118">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72909" w14:textId="77777777" w:rsidR="00263B50" w:rsidRDefault="00263B50" w:rsidP="00035E59">
      <w:r>
        <w:separator/>
      </w:r>
    </w:p>
  </w:endnote>
  <w:endnote w:type="continuationSeparator" w:id="0">
    <w:p w14:paraId="05C6C0F7" w14:textId="77777777" w:rsidR="00263B50" w:rsidRDefault="00263B50" w:rsidP="00035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65859" w14:textId="77777777" w:rsidR="00035E59" w:rsidRDefault="00035E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564EA" w14:textId="2A3D05EB" w:rsidR="00035E59" w:rsidRDefault="00035E59">
    <w:pPr>
      <w:pStyle w:val="Footer"/>
    </w:pPr>
    <w:r w:rsidRPr="00EC665C">
      <w:t>100 Ideas for Primary Teachers: Supporting Pupils with Autism © Francine Brower, 2019</w:t>
    </w:r>
    <w:bookmarkStart w:id="2" w:name="_GoBack"/>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B5DBBD" w14:textId="77777777" w:rsidR="00035E59" w:rsidRDefault="00035E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0777C4" w14:textId="77777777" w:rsidR="00263B50" w:rsidRDefault="00263B50" w:rsidP="00035E59">
      <w:r>
        <w:separator/>
      </w:r>
    </w:p>
  </w:footnote>
  <w:footnote w:type="continuationSeparator" w:id="0">
    <w:p w14:paraId="3906AA6A" w14:textId="77777777" w:rsidR="00263B50" w:rsidRDefault="00263B50" w:rsidP="00035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1D6925" w14:textId="77777777" w:rsidR="00035E59" w:rsidRDefault="00035E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80DAA" w14:textId="061921D2" w:rsidR="00035E59" w:rsidRPr="00035E59" w:rsidRDefault="00035E59" w:rsidP="00035E59">
    <w:pPr>
      <w:spacing w:after="160" w:line="259" w:lineRule="auto"/>
      <w:rPr>
        <w:rFonts w:ascii="Calibri" w:eastAsia="Calibri" w:hAnsi="Calibri" w:cs="Calibri"/>
      </w:rPr>
    </w:pPr>
    <w:r w:rsidRPr="00174EE6">
      <w:rPr>
        <w:rFonts w:ascii="Calibri" w:eastAsia="Calibri" w:hAnsi="Calibri" w:cs="Calibri"/>
      </w:rPr>
      <w:t xml:space="preserve">Idea 24: Reasonable Adjustments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7C6AB" w14:textId="77777777" w:rsidR="00035E59" w:rsidRDefault="00035E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3C1A77"/>
    <w:multiLevelType w:val="hybridMultilevel"/>
    <w:tmpl w:val="89589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7867542"/>
    <w:multiLevelType w:val="hybridMultilevel"/>
    <w:tmpl w:val="DCBCD8E8"/>
    <w:lvl w:ilvl="0" w:tplc="C84C98B8">
      <w:start w:val="1"/>
      <w:numFmt w:val="bullet"/>
      <w:pStyle w:val="Bulletsbase"/>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EE6"/>
    <w:rsid w:val="00035E59"/>
    <w:rsid w:val="00174EE6"/>
    <w:rsid w:val="00263B50"/>
    <w:rsid w:val="00744118"/>
    <w:rsid w:val="00F563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9572D"/>
  <w15:chartTrackingRefBased/>
  <w15:docId w15:val="{B9112D2E-C5FA-FD4B-B5D6-71E48969C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sbase">
    <w:name w:val="&gt; Bullets (base)"/>
    <w:basedOn w:val="Normal"/>
    <w:qFormat/>
    <w:rsid w:val="00174EE6"/>
    <w:pPr>
      <w:numPr>
        <w:numId w:val="2"/>
      </w:numPr>
      <w:snapToGrid w:val="0"/>
      <w:spacing w:after="40" w:line="300" w:lineRule="auto"/>
      <w:ind w:left="340" w:hanging="340"/>
    </w:pPr>
    <w:rPr>
      <w:rFonts w:ascii="Arial" w:eastAsia="Calibri" w:hAnsi="Arial" w:cs="Times New Roman"/>
      <w:snapToGrid w:val="0"/>
      <w:szCs w:val="22"/>
    </w:rPr>
  </w:style>
  <w:style w:type="paragraph" w:styleId="Header">
    <w:name w:val="header"/>
    <w:basedOn w:val="Normal"/>
    <w:link w:val="HeaderChar"/>
    <w:uiPriority w:val="99"/>
    <w:unhideWhenUsed/>
    <w:rsid w:val="00035E59"/>
    <w:pPr>
      <w:tabs>
        <w:tab w:val="center" w:pos="4680"/>
        <w:tab w:val="right" w:pos="9360"/>
      </w:tabs>
    </w:pPr>
  </w:style>
  <w:style w:type="character" w:customStyle="1" w:styleId="HeaderChar">
    <w:name w:val="Header Char"/>
    <w:basedOn w:val="DefaultParagraphFont"/>
    <w:link w:val="Header"/>
    <w:uiPriority w:val="99"/>
    <w:rsid w:val="00035E59"/>
  </w:style>
  <w:style w:type="paragraph" w:styleId="Footer">
    <w:name w:val="footer"/>
    <w:basedOn w:val="Normal"/>
    <w:link w:val="FooterChar"/>
    <w:uiPriority w:val="99"/>
    <w:unhideWhenUsed/>
    <w:rsid w:val="00035E59"/>
    <w:pPr>
      <w:tabs>
        <w:tab w:val="center" w:pos="4680"/>
        <w:tab w:val="right" w:pos="9360"/>
      </w:tabs>
    </w:pPr>
  </w:style>
  <w:style w:type="character" w:customStyle="1" w:styleId="FooterChar">
    <w:name w:val="Footer Char"/>
    <w:basedOn w:val="DefaultParagraphFont"/>
    <w:link w:val="Footer"/>
    <w:uiPriority w:val="99"/>
    <w:rsid w:val="00035E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qualityhumanrights.com/sites/default/files/reasonable_adjustments_for_disabled_pupils_1.pdf"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equalityhumanrights.com/en/publication-download/reasonable-adjustments-disabled-pupil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596</Words>
  <Characters>3398</Characters>
  <Application>Microsoft Office Word</Application>
  <DocSecurity>0</DocSecurity>
  <Lines>28</Lines>
  <Paragraphs>7</Paragraphs>
  <ScaleCrop>false</ScaleCrop>
  <Company/>
  <LinksUpToDate>false</LinksUpToDate>
  <CharactersWithSpaces>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Fitzsimmons</dc:creator>
  <cp:keywords/>
  <dc:description/>
  <cp:lastModifiedBy>Chloe Fitzsimmons</cp:lastModifiedBy>
  <cp:revision>2</cp:revision>
  <dcterms:created xsi:type="dcterms:W3CDTF">2019-03-19T15:25:00Z</dcterms:created>
  <dcterms:modified xsi:type="dcterms:W3CDTF">2019-03-19T15:48:00Z</dcterms:modified>
</cp:coreProperties>
</file>