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6ED9" w14:textId="77777777" w:rsidR="00376EC9" w:rsidRDefault="00376EC9" w:rsidP="00376EC9">
      <w:pPr>
        <w:pStyle w:val="Heading1"/>
      </w:pPr>
      <w:r>
        <w:t>Low</w:t>
      </w:r>
      <w:bookmarkStart w:id="0" w:name="_GoBack"/>
      <w:bookmarkEnd w:id="0"/>
      <w:r>
        <w:t xml:space="preserve"> arousal</w:t>
      </w:r>
    </w:p>
    <w:p w14:paraId="628C879F" w14:textId="77777777" w:rsidR="00376EC9" w:rsidRPr="00C76082" w:rsidRDefault="00376EC9" w:rsidP="00376EC9">
      <w:pPr>
        <w:pStyle w:val="ListParagraph"/>
        <w:ind w:left="0"/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 xml:space="preserve">When a low arousal environment is </w:t>
      </w:r>
      <w:r>
        <w:rPr>
          <w:rFonts w:cstheme="minorHAnsi"/>
          <w:sz w:val="24"/>
          <w:szCs w:val="24"/>
        </w:rPr>
        <w:t>created</w:t>
      </w:r>
      <w:r w:rsidRPr="00C76082">
        <w:rPr>
          <w:rFonts w:cstheme="minorHAnsi"/>
          <w:sz w:val="24"/>
          <w:szCs w:val="24"/>
        </w:rPr>
        <w:t xml:space="preserve">, it evokes a sense of calm. A number of factors go together to create this ethos and enable children to reduce their anxiety, increase their ability to concentrate and attend to what is happening in the classroom. </w:t>
      </w:r>
    </w:p>
    <w:p w14:paraId="443BC44A" w14:textId="77777777" w:rsidR="00376EC9" w:rsidRPr="00C76082" w:rsidRDefault="00376EC9" w:rsidP="00376EC9">
      <w:pPr>
        <w:pStyle w:val="ListParagraph"/>
        <w:ind w:left="0"/>
        <w:rPr>
          <w:rFonts w:cstheme="minorHAnsi"/>
          <w:sz w:val="24"/>
          <w:szCs w:val="24"/>
        </w:rPr>
      </w:pPr>
    </w:p>
    <w:p w14:paraId="43E62971" w14:textId="77777777" w:rsidR="00376EC9" w:rsidRPr="00C76082" w:rsidRDefault="00376EC9" w:rsidP="00376EC9">
      <w:pPr>
        <w:pStyle w:val="ListParagraph"/>
        <w:ind w:left="0"/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Here are some factors to consider:</w:t>
      </w:r>
    </w:p>
    <w:p w14:paraId="6FD0B6BB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Volume – this includes staff speaking voices. Unfortunately, I have been in some classrooms where the level of the staff instruction has even caused me anxiety</w:t>
      </w:r>
    </w:p>
    <w:p w14:paraId="34FF063E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Sensory stimuli – including an awareness of the sensory issues of the pupils such as the temperature, the lighting and the proximity to others</w:t>
      </w:r>
    </w:p>
    <w:p w14:paraId="369F37FD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Alertness to the physical needs of the child that he/she may not communicate to you, e.g. thirst, hunger and the need to use the toilet</w:t>
      </w:r>
    </w:p>
    <w:p w14:paraId="1533B8FC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Reducing clutter – consideration of display, décor, clear surfaces and well</w:t>
      </w:r>
      <w:r>
        <w:rPr>
          <w:rFonts w:cstheme="minorHAnsi"/>
          <w:sz w:val="24"/>
          <w:szCs w:val="24"/>
        </w:rPr>
        <w:t>-</w:t>
      </w:r>
      <w:r w:rsidRPr="00C76082">
        <w:rPr>
          <w:rFonts w:cstheme="minorHAnsi"/>
          <w:sz w:val="24"/>
          <w:szCs w:val="24"/>
        </w:rPr>
        <w:t>organised resources</w:t>
      </w:r>
    </w:p>
    <w:p w14:paraId="7C4C4760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Individualised resources to ensure predictability and support confidence</w:t>
      </w:r>
    </w:p>
    <w:p w14:paraId="155B380C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Carefully planned sessions that incorporate breaks throughout the day, ensuring triggers to anxiety are recognised before escalation of begins</w:t>
      </w:r>
    </w:p>
    <w:p w14:paraId="6781D5BC" w14:textId="77777777" w:rsidR="00376EC9" w:rsidRPr="00C76082" w:rsidRDefault="00376EC9" w:rsidP="00376E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6082">
        <w:rPr>
          <w:rFonts w:cstheme="minorHAnsi"/>
          <w:sz w:val="24"/>
          <w:szCs w:val="24"/>
        </w:rPr>
        <w:t>Calm reassurance if a pupil begins to struggle rather than responding with raised voices and confrontation that exasperates the situation</w:t>
      </w:r>
      <w:r>
        <w:rPr>
          <w:rFonts w:cstheme="minorHAnsi"/>
          <w:sz w:val="24"/>
          <w:szCs w:val="24"/>
        </w:rPr>
        <w:t>.</w:t>
      </w:r>
    </w:p>
    <w:p w14:paraId="7AF18208" w14:textId="77777777" w:rsidR="00376EC9" w:rsidRPr="00C76082" w:rsidRDefault="00376EC9" w:rsidP="00376EC9">
      <w:pPr>
        <w:pStyle w:val="ListParagraph"/>
        <w:ind w:left="0"/>
        <w:rPr>
          <w:rFonts w:cstheme="minorHAnsi"/>
          <w:sz w:val="24"/>
          <w:szCs w:val="24"/>
        </w:rPr>
      </w:pPr>
    </w:p>
    <w:p w14:paraId="1E166CF6" w14:textId="77777777" w:rsidR="00376EC9" w:rsidRPr="00C76082" w:rsidRDefault="00376EC9" w:rsidP="00376EC9">
      <w:pPr>
        <w:pStyle w:val="ListParagraph"/>
        <w:ind w:left="0"/>
        <w:rPr>
          <w:rFonts w:cstheme="minorHAnsi"/>
          <w:sz w:val="24"/>
          <w:szCs w:val="24"/>
        </w:rPr>
      </w:pPr>
      <w:r w:rsidRPr="00C76082">
        <w:rPr>
          <w:rFonts w:cstheme="minorHAnsi"/>
          <w:b/>
          <w:sz w:val="24"/>
          <w:szCs w:val="24"/>
        </w:rPr>
        <w:t xml:space="preserve">Being sensitive to the ethos of the classroom enables children to relax within it and recognise that this is a safe place, a positive environment that supports learning and development. </w:t>
      </w:r>
    </w:p>
    <w:p w14:paraId="5D5EDD2D" w14:textId="77777777" w:rsidR="00F56312" w:rsidRDefault="00F56312"/>
    <w:sectPr w:rsidR="00F56312" w:rsidSect="00744118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7050" w14:textId="77777777" w:rsidR="00643274" w:rsidRDefault="00643274" w:rsidP="00A224E4">
      <w:pPr>
        <w:spacing w:after="0" w:line="240" w:lineRule="auto"/>
      </w:pPr>
      <w:r>
        <w:separator/>
      </w:r>
    </w:p>
  </w:endnote>
  <w:endnote w:type="continuationSeparator" w:id="0">
    <w:p w14:paraId="758AA76A" w14:textId="77777777" w:rsidR="00643274" w:rsidRDefault="00643274" w:rsidP="00A2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A8FF" w14:textId="52FE7D25" w:rsidR="00A224E4" w:rsidRDefault="00A224E4">
    <w:pPr>
      <w:pStyle w:val="Footer"/>
    </w:pPr>
    <w:r w:rsidRPr="00EC665C">
      <w:t>100 Ideas for Primary Teachers: Supporting Pupils with Autism © Francine Brower,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C3B" w14:textId="77777777" w:rsidR="00643274" w:rsidRDefault="00643274" w:rsidP="00A224E4">
      <w:pPr>
        <w:spacing w:after="0" w:line="240" w:lineRule="auto"/>
      </w:pPr>
      <w:r>
        <w:separator/>
      </w:r>
    </w:p>
  </w:footnote>
  <w:footnote w:type="continuationSeparator" w:id="0">
    <w:p w14:paraId="3BA6676D" w14:textId="77777777" w:rsidR="00643274" w:rsidRDefault="00643274" w:rsidP="00A2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27FA" w14:textId="76376204" w:rsidR="00A224E4" w:rsidRPr="00A224E4" w:rsidRDefault="00A224E4" w:rsidP="00A224E4">
    <w:pPr>
      <w:rPr>
        <w:rFonts w:cstheme="minorHAnsi"/>
        <w:sz w:val="24"/>
        <w:szCs w:val="24"/>
      </w:rPr>
    </w:pPr>
    <w:r w:rsidRPr="00C76082">
      <w:rPr>
        <w:rFonts w:cstheme="minorHAnsi"/>
        <w:sz w:val="24"/>
        <w:szCs w:val="24"/>
      </w:rPr>
      <w:t>Idea 27</w:t>
    </w:r>
    <w:r>
      <w:rPr>
        <w:rFonts w:cstheme="minorHAnsi"/>
        <w:sz w:val="24"/>
        <w:szCs w:val="24"/>
      </w:rPr>
      <w:t>:</w:t>
    </w:r>
    <w:r w:rsidRPr="00C76082">
      <w:rPr>
        <w:rFonts w:cstheme="minorHAnsi"/>
        <w:sz w:val="24"/>
        <w:szCs w:val="24"/>
      </w:rPr>
      <w:t xml:space="preserve"> What does low arousal mean?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30038"/>
    <w:multiLevelType w:val="hybridMultilevel"/>
    <w:tmpl w:val="2D22F0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C9"/>
    <w:rsid w:val="00376EC9"/>
    <w:rsid w:val="00643274"/>
    <w:rsid w:val="00744118"/>
    <w:rsid w:val="00A224E4"/>
    <w:rsid w:val="00F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56DB0"/>
  <w15:chartTrackingRefBased/>
  <w15:docId w15:val="{C39D83D3-1828-324D-BE39-242D6EA1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EC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76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376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Fitzsimmons</dc:creator>
  <cp:keywords/>
  <dc:description/>
  <cp:lastModifiedBy>Chloe Fitzsimmons</cp:lastModifiedBy>
  <cp:revision>2</cp:revision>
  <dcterms:created xsi:type="dcterms:W3CDTF">2019-03-19T15:26:00Z</dcterms:created>
  <dcterms:modified xsi:type="dcterms:W3CDTF">2019-03-19T15:48:00Z</dcterms:modified>
</cp:coreProperties>
</file>