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30FDA" w14:textId="77777777" w:rsidR="000347C5" w:rsidRPr="000347C5" w:rsidRDefault="000347C5" w:rsidP="000347C5">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0347C5">
        <w:rPr>
          <w:rFonts w:ascii="Times New Roman" w:eastAsia="Times New Roman" w:hAnsi="Times New Roman" w:cs="Times New Roman"/>
          <w:b/>
          <w:bCs/>
          <w:kern w:val="36"/>
          <w:sz w:val="48"/>
          <w:szCs w:val="48"/>
          <w:lang w:eastAsia="en-GB"/>
        </w:rPr>
        <w:t>Tools to s</w:t>
      </w:r>
      <w:bookmarkStart w:id="0" w:name="_GoBack"/>
      <w:bookmarkEnd w:id="0"/>
      <w:r w:rsidRPr="000347C5">
        <w:rPr>
          <w:rFonts w:ascii="Times New Roman" w:eastAsia="Times New Roman" w:hAnsi="Times New Roman" w:cs="Times New Roman"/>
          <w:b/>
          <w:bCs/>
          <w:kern w:val="36"/>
          <w:sz w:val="48"/>
          <w:szCs w:val="48"/>
          <w:lang w:eastAsia="en-GB"/>
        </w:rPr>
        <w:t xml:space="preserve">upport transition </w:t>
      </w:r>
    </w:p>
    <w:p w14:paraId="1E840646" w14:textId="77777777" w:rsidR="000347C5" w:rsidRPr="000347C5" w:rsidRDefault="000347C5" w:rsidP="000347C5">
      <w:pPr>
        <w:spacing w:after="160" w:line="259" w:lineRule="auto"/>
        <w:contextualSpacing/>
        <w:rPr>
          <w:rFonts w:ascii="Calibri" w:eastAsia="Calibri" w:hAnsi="Calibri" w:cs="Calibri"/>
        </w:rPr>
      </w:pPr>
      <w:r w:rsidRPr="000347C5">
        <w:rPr>
          <w:rFonts w:ascii="Calibri" w:eastAsia="Calibri" w:hAnsi="Calibri" w:cs="Calibri"/>
        </w:rPr>
        <w:t xml:space="preserve">Transition and change are a challenge for many children with autism. Throughout the day, your pupils face micro transitions that are part of the very nature of being in school. It may be moving from the classroom to the hall, dining room or specialist room, or it may be arriving in the morning and leaving at the end of the day. By providing routine and predictability, by using warnings and visuals, you make it possible for your pupils to accept these fairly regular changes. Many visuals, including ‘First… Then’, visual schedules and timetables are highlighted throughout the book and in other areas of the Companion Website. </w:t>
      </w:r>
    </w:p>
    <w:p w14:paraId="49F16A5F" w14:textId="77777777" w:rsidR="000347C5" w:rsidRPr="000347C5" w:rsidRDefault="000347C5" w:rsidP="000347C5">
      <w:pPr>
        <w:spacing w:after="160" w:line="259" w:lineRule="auto"/>
        <w:contextualSpacing/>
        <w:rPr>
          <w:rFonts w:ascii="Calibri" w:eastAsia="Calibri" w:hAnsi="Calibri" w:cs="Calibri"/>
        </w:rPr>
      </w:pPr>
    </w:p>
    <w:p w14:paraId="4D8A882A" w14:textId="77777777" w:rsidR="000347C5" w:rsidRPr="000347C5" w:rsidRDefault="000347C5" w:rsidP="000347C5">
      <w:pPr>
        <w:spacing w:after="160" w:line="259" w:lineRule="auto"/>
        <w:contextualSpacing/>
        <w:rPr>
          <w:rFonts w:ascii="Calibri" w:eastAsia="Calibri" w:hAnsi="Calibri" w:cs="Calibri"/>
        </w:rPr>
      </w:pPr>
      <w:r w:rsidRPr="000347C5">
        <w:rPr>
          <w:rFonts w:ascii="Calibri" w:eastAsia="Calibri" w:hAnsi="Calibri" w:cs="Calibri"/>
        </w:rPr>
        <w:t xml:space="preserve">Macro transitions occur when the change is on a bigger scale such as moving to a new class group at the end of the year or moving to a new school. In the home setting, it includes going on holiday and having the half term and end of term holidays. Careful planning to provide assurance and to ease anxiety is essential. </w:t>
      </w:r>
    </w:p>
    <w:p w14:paraId="5696A24D" w14:textId="77777777" w:rsidR="000347C5" w:rsidRPr="000347C5" w:rsidRDefault="000347C5" w:rsidP="000347C5">
      <w:pPr>
        <w:spacing w:after="160" w:line="259" w:lineRule="auto"/>
        <w:contextualSpacing/>
        <w:rPr>
          <w:rFonts w:ascii="Calibri" w:eastAsia="Calibri" w:hAnsi="Calibri" w:cs="Calibri"/>
        </w:rPr>
      </w:pPr>
    </w:p>
    <w:p w14:paraId="6BDD4527" w14:textId="77777777" w:rsidR="000347C5" w:rsidRPr="000347C5" w:rsidRDefault="000347C5" w:rsidP="000347C5">
      <w:pPr>
        <w:spacing w:after="160" w:line="259" w:lineRule="auto"/>
        <w:contextualSpacing/>
        <w:rPr>
          <w:rFonts w:ascii="Calibri" w:eastAsia="Calibri" w:hAnsi="Calibri" w:cs="Calibri"/>
        </w:rPr>
      </w:pPr>
      <w:r w:rsidRPr="000347C5">
        <w:rPr>
          <w:rFonts w:ascii="Calibri" w:eastAsia="Calibri" w:hAnsi="Calibri" w:cs="Calibri"/>
        </w:rPr>
        <w:t>Transition is supported well through the use of Social Stories</w:t>
      </w:r>
      <w:r w:rsidRPr="000347C5">
        <w:rPr>
          <w:rFonts w:ascii="Calibri" w:eastAsia="Calibri" w:hAnsi="Calibri" w:cs="Calibri"/>
          <w:vertAlign w:val="superscript"/>
        </w:rPr>
        <w:t>TM</w:t>
      </w:r>
      <w:r w:rsidRPr="000347C5">
        <w:rPr>
          <w:rFonts w:ascii="Calibri" w:eastAsia="Calibri" w:hAnsi="Calibri" w:cs="Calibri"/>
        </w:rPr>
        <w:t xml:space="preserve"> and Comic Strip Conversations. The correct use of a Social Story</w:t>
      </w:r>
      <w:r w:rsidRPr="000347C5">
        <w:rPr>
          <w:rFonts w:ascii="Calibri" w:eastAsia="Calibri" w:hAnsi="Calibri" w:cs="Calibri"/>
          <w:vertAlign w:val="superscript"/>
        </w:rPr>
        <w:t>TM</w:t>
      </w:r>
      <w:r w:rsidRPr="000347C5">
        <w:rPr>
          <w:rFonts w:ascii="Calibri" w:eastAsia="Calibri" w:hAnsi="Calibri" w:cs="Calibri"/>
        </w:rPr>
        <w:t xml:space="preserve"> can provide assurance and help the child to understand and accept the changes that occur. </w:t>
      </w:r>
    </w:p>
    <w:p w14:paraId="22B2D990" w14:textId="77777777" w:rsidR="000347C5" w:rsidRPr="000347C5" w:rsidRDefault="000347C5" w:rsidP="000347C5">
      <w:pPr>
        <w:spacing w:after="160" w:line="259" w:lineRule="auto"/>
        <w:contextualSpacing/>
        <w:rPr>
          <w:rFonts w:ascii="Calibri" w:eastAsia="Calibri" w:hAnsi="Calibri" w:cs="Calibri"/>
        </w:rPr>
      </w:pPr>
    </w:p>
    <w:p w14:paraId="42512E79" w14:textId="77777777" w:rsidR="000347C5" w:rsidRPr="000347C5" w:rsidRDefault="000347C5" w:rsidP="000347C5">
      <w:pPr>
        <w:spacing w:after="160" w:line="259" w:lineRule="auto"/>
        <w:contextualSpacing/>
        <w:rPr>
          <w:rFonts w:ascii="Calibri" w:eastAsia="Calibri" w:hAnsi="Calibri" w:cs="Calibri"/>
        </w:rPr>
      </w:pPr>
      <w:r w:rsidRPr="000347C5">
        <w:rPr>
          <w:rFonts w:ascii="Calibri" w:eastAsia="Calibri" w:hAnsi="Calibri" w:cs="Calibri"/>
        </w:rPr>
        <w:t xml:space="preserve">Transition planning from primary to secondary school is hugely important and involves the whole multi-disciplinary team supporting the child and family/carers. When done well, it makes this a smooth and successful journey. The ongoing support from the primary school, being available when concerns arise at the secondary school, is an absolute bonus for the child and family/carers. A useful tool for transition from primary to secondary school is </w:t>
      </w:r>
      <w:proofErr w:type="spellStart"/>
      <w:r w:rsidRPr="000347C5">
        <w:rPr>
          <w:rFonts w:ascii="Calibri" w:eastAsia="Calibri" w:hAnsi="Calibri" w:cs="Calibri"/>
        </w:rPr>
        <w:t>Arfur</w:t>
      </w:r>
      <w:proofErr w:type="spellEnd"/>
      <w:r w:rsidRPr="000347C5">
        <w:rPr>
          <w:rFonts w:ascii="Calibri" w:eastAsia="Calibri" w:hAnsi="Calibri" w:cs="Calibri"/>
        </w:rPr>
        <w:t xml:space="preserve"> Moe’s Transition Book that is available online in PDF form </w:t>
      </w:r>
      <w:hyperlink r:id="rId7" w:history="1">
        <w:r w:rsidRPr="000347C5">
          <w:rPr>
            <w:rFonts w:ascii="Calibri" w:eastAsia="Calibri" w:hAnsi="Calibri" w:cs="Calibri"/>
            <w:color w:val="0000FF"/>
            <w:u w:val="single"/>
          </w:rPr>
          <w:t>here</w:t>
        </w:r>
      </w:hyperlink>
      <w:r w:rsidRPr="000347C5">
        <w:rPr>
          <w:rFonts w:ascii="Calibri" w:eastAsia="Calibri" w:hAnsi="Calibri" w:cs="Calibri"/>
        </w:rPr>
        <w:t>. By providing a thorough overview of a new school, the child can be eased into the transition.</w:t>
      </w:r>
    </w:p>
    <w:p w14:paraId="3F70A489" w14:textId="77777777" w:rsidR="000347C5" w:rsidRPr="000347C5" w:rsidRDefault="000347C5" w:rsidP="000347C5">
      <w:pPr>
        <w:spacing w:after="160" w:line="259" w:lineRule="auto"/>
        <w:contextualSpacing/>
        <w:rPr>
          <w:rFonts w:ascii="Calibri" w:eastAsia="Calibri" w:hAnsi="Calibri" w:cs="Calibri"/>
        </w:rPr>
      </w:pPr>
    </w:p>
    <w:p w14:paraId="5F64E7AC" w14:textId="77777777" w:rsidR="000347C5" w:rsidRPr="000347C5" w:rsidRDefault="000347C5" w:rsidP="000347C5">
      <w:pPr>
        <w:spacing w:after="160" w:line="259" w:lineRule="auto"/>
        <w:contextualSpacing/>
        <w:rPr>
          <w:rFonts w:ascii="Calibri" w:eastAsia="Calibri" w:hAnsi="Calibri" w:cs="Calibri"/>
        </w:rPr>
      </w:pPr>
      <w:r w:rsidRPr="000347C5">
        <w:rPr>
          <w:rFonts w:ascii="Calibri" w:eastAsia="Calibri" w:hAnsi="Calibri" w:cs="Calibri"/>
        </w:rPr>
        <w:t>A Communication Passport to provide comprehensive information for the receiving school is also extremely helpful. A brief example is provided on the next page, but you may wish to adapt this for your own needs. You should intersperse the passport with photographs and images.</w:t>
      </w:r>
    </w:p>
    <w:p w14:paraId="3D188B66" w14:textId="77777777" w:rsidR="000347C5" w:rsidRPr="000347C5" w:rsidRDefault="000347C5" w:rsidP="000347C5">
      <w:pPr>
        <w:spacing w:after="160" w:line="259" w:lineRule="auto"/>
        <w:contextualSpacing/>
        <w:rPr>
          <w:rFonts w:ascii="Calibri" w:eastAsia="Calibri" w:hAnsi="Calibri" w:cs="Calibri"/>
        </w:rPr>
      </w:pPr>
    </w:p>
    <w:p w14:paraId="71A8A0B1" w14:textId="77777777" w:rsidR="000347C5" w:rsidRPr="000347C5" w:rsidRDefault="000347C5" w:rsidP="000347C5">
      <w:pPr>
        <w:spacing w:after="160" w:line="259" w:lineRule="auto"/>
        <w:rPr>
          <w:rFonts w:ascii="Calibri" w:eastAsia="Calibri" w:hAnsi="Calibri" w:cs="Calibri"/>
          <w:b/>
        </w:rPr>
      </w:pPr>
      <w:r w:rsidRPr="000347C5">
        <w:rPr>
          <w:rFonts w:ascii="Calibri" w:eastAsia="Calibri" w:hAnsi="Calibri" w:cs="Calibri"/>
          <w:b/>
        </w:rPr>
        <w:br w:type="page"/>
      </w:r>
    </w:p>
    <w:p w14:paraId="6D29A1EE" w14:textId="77777777" w:rsidR="000347C5" w:rsidRPr="000347C5" w:rsidRDefault="000347C5" w:rsidP="000347C5">
      <w:pPr>
        <w:spacing w:after="160" w:line="259" w:lineRule="auto"/>
        <w:jc w:val="center"/>
        <w:rPr>
          <w:rFonts w:ascii="Calibri" w:eastAsia="Calibri" w:hAnsi="Calibri" w:cs="Calibri"/>
        </w:rPr>
      </w:pPr>
      <w:r w:rsidRPr="000347C5">
        <w:rPr>
          <w:rFonts w:ascii="Calibri" w:eastAsia="Calibri" w:hAnsi="Calibri" w:cs="Calibri"/>
          <w:b/>
        </w:rPr>
        <w:lastRenderedPageBreak/>
        <w:t xml:space="preserve">Communication Passport </w:t>
      </w:r>
      <w:r w:rsidRPr="000347C5">
        <w:rPr>
          <w:rFonts w:ascii="Calibri" w:eastAsia="Calibri" w:hAnsi="Calibri" w:cs="Calibri"/>
          <w:b/>
        </w:rPr>
        <w:br/>
      </w:r>
      <w:r w:rsidRPr="000347C5">
        <w:rPr>
          <w:rFonts w:ascii="Calibri" w:eastAsia="Calibri" w:hAnsi="Calibri" w:cs="Calibri"/>
        </w:rPr>
        <w:t>This book is about me!</w:t>
      </w:r>
    </w:p>
    <w:p w14:paraId="71361C92" w14:textId="77777777" w:rsidR="000347C5" w:rsidRPr="000347C5" w:rsidRDefault="000347C5" w:rsidP="000347C5">
      <w:pPr>
        <w:spacing w:after="160" w:line="259" w:lineRule="auto"/>
        <w:jc w:val="center"/>
        <w:rPr>
          <w:rFonts w:ascii="Calibri" w:eastAsia="Calibri" w:hAnsi="Calibri" w:cs="Calibri"/>
        </w:rPr>
      </w:pPr>
      <w:r w:rsidRPr="000347C5">
        <w:rPr>
          <w:rFonts w:ascii="Calibri" w:eastAsia="Calibri" w:hAnsi="Calibri" w:cs="Calibri"/>
        </w:rPr>
        <w:br/>
        <w:t>My name is ___________________</w:t>
      </w:r>
    </w:p>
    <w:p w14:paraId="43F309A5" w14:textId="77777777" w:rsidR="000347C5" w:rsidRPr="000347C5" w:rsidRDefault="000347C5" w:rsidP="000347C5">
      <w:pPr>
        <w:spacing w:after="160" w:line="259" w:lineRule="auto"/>
        <w:jc w:val="center"/>
        <w:rPr>
          <w:rFonts w:ascii="Calibri" w:eastAsia="Calibri" w:hAnsi="Calibri" w:cs="Calibri"/>
        </w:rPr>
      </w:pPr>
    </w:p>
    <w:p w14:paraId="5DC5DB7A" w14:textId="77777777" w:rsidR="000347C5" w:rsidRPr="000347C5" w:rsidRDefault="000347C5" w:rsidP="000347C5">
      <w:pPr>
        <w:spacing w:after="160" w:line="259" w:lineRule="auto"/>
        <w:jc w:val="center"/>
        <w:rPr>
          <w:rFonts w:ascii="Calibri" w:eastAsia="Calibri" w:hAnsi="Calibri" w:cs="Calibri"/>
        </w:rPr>
      </w:pPr>
      <w:r w:rsidRPr="000347C5">
        <w:rPr>
          <w:rFonts w:ascii="Calibri" w:eastAsia="Calibri" w:hAnsi="Calibri" w:cs="Calibri"/>
        </w:rPr>
        <w:t>Please read!</w:t>
      </w:r>
    </w:p>
    <w:p w14:paraId="0A81BDAD" w14:textId="77777777" w:rsidR="000347C5" w:rsidRPr="000347C5" w:rsidRDefault="000347C5" w:rsidP="000347C5">
      <w:pPr>
        <w:spacing w:after="160" w:line="259" w:lineRule="auto"/>
        <w:jc w:val="center"/>
        <w:rPr>
          <w:rFonts w:ascii="Calibri" w:eastAsia="Calibri" w:hAnsi="Calibri" w:cs="Calibri"/>
        </w:rPr>
      </w:pPr>
      <w:r w:rsidRPr="000347C5">
        <w:rPr>
          <w:rFonts w:ascii="Calibri" w:eastAsia="Calibri" w:hAnsi="Calibri" w:cs="Calibri"/>
        </w:rPr>
        <w:t>This book will help you to get to know me and how I communicate.</w:t>
      </w:r>
    </w:p>
    <w:p w14:paraId="2E564DF8" w14:textId="77777777" w:rsidR="000347C5" w:rsidRPr="000347C5" w:rsidRDefault="000347C5" w:rsidP="000347C5">
      <w:pPr>
        <w:spacing w:after="160" w:line="259" w:lineRule="auto"/>
        <w:jc w:val="center"/>
        <w:rPr>
          <w:rFonts w:ascii="Calibri" w:eastAsia="Calibri" w:hAnsi="Calibri" w:cs="Calibri"/>
          <w:b/>
        </w:rPr>
      </w:pPr>
    </w:p>
    <w:p w14:paraId="3FF9FECE" w14:textId="77777777" w:rsidR="000347C5" w:rsidRPr="000347C5" w:rsidRDefault="000347C5" w:rsidP="000347C5">
      <w:pPr>
        <w:spacing w:after="160" w:line="259" w:lineRule="auto"/>
        <w:jc w:val="center"/>
        <w:rPr>
          <w:rFonts w:ascii="Calibri" w:eastAsia="Calibri" w:hAnsi="Calibri" w:cs="Calibri"/>
          <w:b/>
        </w:rPr>
      </w:pPr>
      <w:r w:rsidRPr="000347C5">
        <w:rPr>
          <w:rFonts w:ascii="Calibri" w:eastAsia="Calibri" w:hAnsi="Calibri" w:cs="Calibri"/>
          <w:b/>
        </w:rPr>
        <w:t>Page Index</w:t>
      </w:r>
    </w:p>
    <w:p w14:paraId="74B10B43"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All about me – date of birth, address, etc.</w:t>
      </w:r>
    </w:p>
    <w:p w14:paraId="4709EECB"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You need to know – medication, allergies, fears</w:t>
      </w:r>
    </w:p>
    <w:p w14:paraId="631AB97C"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My family – succinct information on each member</w:t>
      </w:r>
    </w:p>
    <w:p w14:paraId="134ABECA"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My friends – as above</w:t>
      </w:r>
    </w:p>
    <w:p w14:paraId="3585FEB6"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Special people, special things – including pets</w:t>
      </w:r>
    </w:p>
    <w:p w14:paraId="70894FDA"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Things I like to talk about</w:t>
      </w:r>
    </w:p>
    <w:p w14:paraId="5EC93FD3"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How I communicate</w:t>
      </w:r>
    </w:p>
    <w:p w14:paraId="69A27590"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You can help me communicate</w:t>
      </w:r>
    </w:p>
    <w:p w14:paraId="18851571"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Fun things I like to do</w:t>
      </w:r>
    </w:p>
    <w:p w14:paraId="44945AC1"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Places I like going</w:t>
      </w:r>
    </w:p>
    <w:p w14:paraId="0A6A7BA1"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Things I don’t like – including sensory issues</w:t>
      </w:r>
    </w:p>
    <w:p w14:paraId="321576FA"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I’m working on this...</w:t>
      </w:r>
    </w:p>
    <w:p w14:paraId="7C822417"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Help!</w:t>
      </w:r>
    </w:p>
    <w:p w14:paraId="27AF8D4E"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Eating and drinking</w:t>
      </w:r>
    </w:p>
    <w:p w14:paraId="14CCA20F" w14:textId="77777777" w:rsidR="000347C5" w:rsidRPr="000347C5" w:rsidRDefault="000347C5" w:rsidP="000347C5">
      <w:pPr>
        <w:numPr>
          <w:ilvl w:val="0"/>
          <w:numId w:val="1"/>
        </w:numPr>
        <w:spacing w:after="160" w:line="259" w:lineRule="auto"/>
        <w:rPr>
          <w:rFonts w:ascii="Calibri" w:eastAsia="Calibri" w:hAnsi="Calibri" w:cs="Calibri"/>
          <w:b/>
        </w:rPr>
      </w:pPr>
      <w:r w:rsidRPr="000347C5">
        <w:rPr>
          <w:rFonts w:ascii="Calibri" w:eastAsia="Calibri" w:hAnsi="Calibri" w:cs="Calibri"/>
          <w:b/>
        </w:rPr>
        <w:t>What’s my eyesight like?</w:t>
      </w:r>
    </w:p>
    <w:p w14:paraId="0971E02F" w14:textId="77777777" w:rsidR="000347C5" w:rsidRPr="000347C5" w:rsidRDefault="000347C5" w:rsidP="000347C5">
      <w:pPr>
        <w:spacing w:after="160" w:line="259" w:lineRule="auto"/>
        <w:contextualSpacing/>
        <w:rPr>
          <w:rFonts w:ascii="Calibri" w:eastAsia="Calibri" w:hAnsi="Calibri" w:cs="Calibri"/>
        </w:rPr>
      </w:pPr>
    </w:p>
    <w:p w14:paraId="70B23088" w14:textId="77777777" w:rsidR="000347C5" w:rsidRPr="000347C5" w:rsidRDefault="000347C5" w:rsidP="000347C5">
      <w:pPr>
        <w:spacing w:after="160" w:line="259" w:lineRule="auto"/>
        <w:rPr>
          <w:rFonts w:ascii="Calibri" w:eastAsia="Calibri" w:hAnsi="Calibri" w:cs="Calibri"/>
        </w:rPr>
      </w:pPr>
      <w:r w:rsidRPr="000347C5">
        <w:rPr>
          <w:rFonts w:ascii="Calibri" w:eastAsia="Calibri" w:hAnsi="Calibri" w:cs="Calibri"/>
        </w:rPr>
        <w:br w:type="page"/>
      </w:r>
    </w:p>
    <w:p w14:paraId="7EFCB9DA" w14:textId="77777777" w:rsidR="000347C5" w:rsidRPr="000347C5" w:rsidRDefault="000347C5" w:rsidP="000347C5">
      <w:pPr>
        <w:spacing w:after="160" w:line="259" w:lineRule="auto"/>
        <w:contextualSpacing/>
        <w:rPr>
          <w:rFonts w:ascii="Calibri" w:eastAsia="Calibri" w:hAnsi="Calibri" w:cs="Calibri"/>
        </w:rPr>
      </w:pPr>
      <w:r w:rsidRPr="000347C5">
        <w:rPr>
          <w:rFonts w:ascii="Calibri" w:eastAsia="Calibri" w:hAnsi="Calibri" w:cs="Calibri"/>
        </w:rPr>
        <w:lastRenderedPageBreak/>
        <w:t xml:space="preserve">Always remember to support the child through transition by emphasising what will remain the same as well as explaining the new physical environment, new people and routines. It goes without saying that visits to the new situation are necessary, whether that is a new classroom or a new building. The change of journey from home to school is also a real challenge and must be rehearsed to make it familiar. </w:t>
      </w:r>
    </w:p>
    <w:p w14:paraId="4072E87D" w14:textId="77777777" w:rsidR="000347C5" w:rsidRPr="000347C5" w:rsidRDefault="000347C5" w:rsidP="000347C5">
      <w:pPr>
        <w:spacing w:after="160" w:line="259" w:lineRule="auto"/>
        <w:contextualSpacing/>
        <w:rPr>
          <w:rFonts w:ascii="Calibri" w:eastAsia="Calibri" w:hAnsi="Calibri" w:cs="Calibri"/>
        </w:rPr>
      </w:pPr>
    </w:p>
    <w:p w14:paraId="134DECD6" w14:textId="77777777" w:rsidR="000347C5" w:rsidRPr="000347C5" w:rsidRDefault="000347C5" w:rsidP="000347C5">
      <w:pPr>
        <w:spacing w:after="160" w:line="259" w:lineRule="auto"/>
        <w:contextualSpacing/>
        <w:rPr>
          <w:rFonts w:ascii="Calibri" w:eastAsia="Calibri" w:hAnsi="Calibri" w:cs="Calibri"/>
        </w:rPr>
      </w:pPr>
      <w:r w:rsidRPr="000347C5">
        <w:rPr>
          <w:rFonts w:ascii="Calibri" w:eastAsia="Calibri" w:hAnsi="Calibri" w:cs="Calibri"/>
        </w:rPr>
        <w:t>When my school moved from one building to another, the staff were brilliant at taking the children on visits to see the new buildings being erected. They replicated as much as possible to ensure adjusting to the new environment would go smoothly. This included carefully removing a display board from the former classroom to be on the wall of the new classroom to enhance familiarity. The children, all on the autism spectrum, coped well (perhaps even better than some of the staff!).</w:t>
      </w:r>
    </w:p>
    <w:p w14:paraId="2F839706" w14:textId="77777777" w:rsidR="000347C5" w:rsidRPr="000347C5" w:rsidRDefault="000347C5" w:rsidP="000347C5">
      <w:pPr>
        <w:spacing w:after="160" w:line="259" w:lineRule="auto"/>
        <w:contextualSpacing/>
        <w:rPr>
          <w:rFonts w:ascii="Calibri" w:eastAsia="Calibri" w:hAnsi="Calibri" w:cs="Calibri"/>
        </w:rPr>
      </w:pPr>
    </w:p>
    <w:p w14:paraId="258FF42D" w14:textId="77777777" w:rsidR="00F56312" w:rsidRDefault="00F56312"/>
    <w:sectPr w:rsidR="00F56312" w:rsidSect="00744118">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9D343" w14:textId="77777777" w:rsidR="00B073C0" w:rsidRDefault="00B073C0" w:rsidP="004814A6">
      <w:r>
        <w:separator/>
      </w:r>
    </w:p>
  </w:endnote>
  <w:endnote w:type="continuationSeparator" w:id="0">
    <w:p w14:paraId="49B67DDD" w14:textId="77777777" w:rsidR="00B073C0" w:rsidRDefault="00B073C0" w:rsidP="0048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819D" w14:textId="7B10E759" w:rsidR="004814A6" w:rsidRDefault="004814A6">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85FCF" w14:textId="77777777" w:rsidR="00B073C0" w:rsidRDefault="00B073C0" w:rsidP="004814A6">
      <w:r>
        <w:separator/>
      </w:r>
    </w:p>
  </w:footnote>
  <w:footnote w:type="continuationSeparator" w:id="0">
    <w:p w14:paraId="7EDA57F3" w14:textId="77777777" w:rsidR="00B073C0" w:rsidRDefault="00B073C0" w:rsidP="0048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0FA8" w14:textId="77777777" w:rsidR="004814A6" w:rsidRPr="000347C5" w:rsidRDefault="004814A6" w:rsidP="004814A6">
    <w:pPr>
      <w:spacing w:after="160" w:line="259" w:lineRule="auto"/>
      <w:rPr>
        <w:rFonts w:ascii="Calibri" w:eastAsia="Calibri" w:hAnsi="Calibri" w:cs="Calibri"/>
      </w:rPr>
    </w:pPr>
    <w:r w:rsidRPr="000347C5">
      <w:rPr>
        <w:rFonts w:ascii="Calibri" w:eastAsia="Calibri" w:hAnsi="Calibri" w:cs="Calibri"/>
      </w:rPr>
      <w:t xml:space="preserve">Idea 32: Troubling transitions </w:t>
    </w:r>
  </w:p>
  <w:p w14:paraId="2335CD1C" w14:textId="77777777" w:rsidR="004814A6" w:rsidRDefault="00481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B2FEC"/>
    <w:multiLevelType w:val="hybridMultilevel"/>
    <w:tmpl w:val="35AC5D0E"/>
    <w:lvl w:ilvl="0" w:tplc="49AA736E">
      <w:start w:val="1"/>
      <w:numFmt w:val="decimal"/>
      <w:lvlText w:val="%1."/>
      <w:lvlJc w:val="left"/>
      <w:pPr>
        <w:tabs>
          <w:tab w:val="num" w:pos="720"/>
        </w:tabs>
        <w:ind w:left="720" w:hanging="360"/>
      </w:pPr>
    </w:lvl>
    <w:lvl w:ilvl="1" w:tplc="D72E9F3A" w:tentative="1">
      <w:start w:val="1"/>
      <w:numFmt w:val="decimal"/>
      <w:lvlText w:val="%2."/>
      <w:lvlJc w:val="left"/>
      <w:pPr>
        <w:tabs>
          <w:tab w:val="num" w:pos="1440"/>
        </w:tabs>
        <w:ind w:left="1440" w:hanging="360"/>
      </w:pPr>
    </w:lvl>
    <w:lvl w:ilvl="2" w:tplc="DE04F94A" w:tentative="1">
      <w:start w:val="1"/>
      <w:numFmt w:val="decimal"/>
      <w:lvlText w:val="%3."/>
      <w:lvlJc w:val="left"/>
      <w:pPr>
        <w:tabs>
          <w:tab w:val="num" w:pos="2160"/>
        </w:tabs>
        <w:ind w:left="2160" w:hanging="360"/>
      </w:pPr>
    </w:lvl>
    <w:lvl w:ilvl="3" w:tplc="5726DB1C" w:tentative="1">
      <w:start w:val="1"/>
      <w:numFmt w:val="decimal"/>
      <w:lvlText w:val="%4."/>
      <w:lvlJc w:val="left"/>
      <w:pPr>
        <w:tabs>
          <w:tab w:val="num" w:pos="2880"/>
        </w:tabs>
        <w:ind w:left="2880" w:hanging="360"/>
      </w:pPr>
    </w:lvl>
    <w:lvl w:ilvl="4" w:tplc="79B6CC9E" w:tentative="1">
      <w:start w:val="1"/>
      <w:numFmt w:val="decimal"/>
      <w:lvlText w:val="%5."/>
      <w:lvlJc w:val="left"/>
      <w:pPr>
        <w:tabs>
          <w:tab w:val="num" w:pos="3600"/>
        </w:tabs>
        <w:ind w:left="3600" w:hanging="360"/>
      </w:pPr>
    </w:lvl>
    <w:lvl w:ilvl="5" w:tplc="497EEBD2" w:tentative="1">
      <w:start w:val="1"/>
      <w:numFmt w:val="decimal"/>
      <w:lvlText w:val="%6."/>
      <w:lvlJc w:val="left"/>
      <w:pPr>
        <w:tabs>
          <w:tab w:val="num" w:pos="4320"/>
        </w:tabs>
        <w:ind w:left="4320" w:hanging="360"/>
      </w:pPr>
    </w:lvl>
    <w:lvl w:ilvl="6" w:tplc="5EBA7CEA" w:tentative="1">
      <w:start w:val="1"/>
      <w:numFmt w:val="decimal"/>
      <w:lvlText w:val="%7."/>
      <w:lvlJc w:val="left"/>
      <w:pPr>
        <w:tabs>
          <w:tab w:val="num" w:pos="5040"/>
        </w:tabs>
        <w:ind w:left="5040" w:hanging="360"/>
      </w:pPr>
    </w:lvl>
    <w:lvl w:ilvl="7" w:tplc="8780A142" w:tentative="1">
      <w:start w:val="1"/>
      <w:numFmt w:val="decimal"/>
      <w:lvlText w:val="%8."/>
      <w:lvlJc w:val="left"/>
      <w:pPr>
        <w:tabs>
          <w:tab w:val="num" w:pos="5760"/>
        </w:tabs>
        <w:ind w:left="5760" w:hanging="360"/>
      </w:pPr>
    </w:lvl>
    <w:lvl w:ilvl="8" w:tplc="1188D27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C5"/>
    <w:rsid w:val="000347C5"/>
    <w:rsid w:val="004814A6"/>
    <w:rsid w:val="00744118"/>
    <w:rsid w:val="00B073C0"/>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7F353"/>
  <w15:chartTrackingRefBased/>
  <w15:docId w15:val="{360E4C19-DA75-E546-8FB2-6591700E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4A6"/>
    <w:pPr>
      <w:tabs>
        <w:tab w:val="center" w:pos="4680"/>
        <w:tab w:val="right" w:pos="9360"/>
      </w:tabs>
    </w:pPr>
  </w:style>
  <w:style w:type="character" w:customStyle="1" w:styleId="HeaderChar">
    <w:name w:val="Header Char"/>
    <w:basedOn w:val="DefaultParagraphFont"/>
    <w:link w:val="Header"/>
    <w:uiPriority w:val="99"/>
    <w:rsid w:val="004814A6"/>
  </w:style>
  <w:style w:type="paragraph" w:styleId="Footer">
    <w:name w:val="footer"/>
    <w:basedOn w:val="Normal"/>
    <w:link w:val="FooterChar"/>
    <w:uiPriority w:val="99"/>
    <w:unhideWhenUsed/>
    <w:rsid w:val="004814A6"/>
    <w:pPr>
      <w:tabs>
        <w:tab w:val="center" w:pos="4680"/>
        <w:tab w:val="right" w:pos="9360"/>
      </w:tabs>
    </w:pPr>
  </w:style>
  <w:style w:type="character" w:customStyle="1" w:styleId="FooterChar">
    <w:name w:val="Footer Char"/>
    <w:basedOn w:val="DefaultParagraphFont"/>
    <w:link w:val="Footer"/>
    <w:uiPriority w:val="99"/>
    <w:rsid w:val="0048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tismspectrumeducation.com/uploads/6/9/9/1/699189/primary_to_secondary_transition_work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2019-03-19T15:26:00Z</dcterms:created>
  <dcterms:modified xsi:type="dcterms:W3CDTF">2019-03-19T15:50:00Z</dcterms:modified>
</cp:coreProperties>
</file>