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461A8" w14:textId="77777777" w:rsidR="001B61D4" w:rsidRPr="001B61D4" w:rsidRDefault="001B61D4" w:rsidP="001B61D4">
      <w:pPr>
        <w:spacing w:before="100" w:beforeAutospacing="1" w:after="100" w:afterAutospacing="1"/>
        <w:outlineLvl w:val="0"/>
        <w:rPr>
          <w:rFonts w:ascii="Times New Roman" w:eastAsia="Times New Roman" w:hAnsi="Times New Roman" w:cs="Times New Roman"/>
          <w:b/>
          <w:bCs/>
          <w:kern w:val="36"/>
          <w:sz w:val="48"/>
          <w:szCs w:val="48"/>
          <w:lang w:eastAsia="en-GB"/>
        </w:rPr>
      </w:pPr>
      <w:r w:rsidRPr="001B61D4">
        <w:rPr>
          <w:rFonts w:ascii="Times New Roman" w:eastAsia="Times New Roman" w:hAnsi="Times New Roman" w:cs="Times New Roman"/>
          <w:b/>
          <w:bCs/>
          <w:kern w:val="36"/>
          <w:sz w:val="48"/>
          <w:szCs w:val="48"/>
          <w:lang w:eastAsia="en-GB"/>
        </w:rPr>
        <w:t>Examples o</w:t>
      </w:r>
      <w:bookmarkStart w:id="0" w:name="_GoBack"/>
      <w:bookmarkEnd w:id="0"/>
      <w:r w:rsidRPr="001B61D4">
        <w:rPr>
          <w:rFonts w:ascii="Times New Roman" w:eastAsia="Times New Roman" w:hAnsi="Times New Roman" w:cs="Times New Roman"/>
          <w:b/>
          <w:bCs/>
          <w:kern w:val="36"/>
          <w:sz w:val="48"/>
          <w:szCs w:val="48"/>
          <w:lang w:eastAsia="en-GB"/>
        </w:rPr>
        <w:t xml:space="preserve">f pupil targets </w:t>
      </w:r>
    </w:p>
    <w:p w14:paraId="4DE314BD" w14:textId="77777777" w:rsidR="001B61D4" w:rsidRPr="001B61D4" w:rsidRDefault="001B61D4" w:rsidP="001B61D4">
      <w:pPr>
        <w:spacing w:after="160" w:line="259" w:lineRule="auto"/>
        <w:contextualSpacing/>
        <w:rPr>
          <w:rFonts w:ascii="Calibri" w:eastAsia="Calibri" w:hAnsi="Calibri" w:cs="Calibri"/>
        </w:rPr>
      </w:pPr>
      <w:r w:rsidRPr="001B61D4">
        <w:rPr>
          <w:rFonts w:ascii="Calibri" w:eastAsia="Calibri" w:hAnsi="Calibri" w:cs="Calibri"/>
        </w:rPr>
        <w:t>It goes without saying that targets are linked to assessment. When you are aware of the child’s attainment levels, communication needs, independence, sensory issues and social awareness, your targets will be a true reflection of the needs of your pupil. It is very difficult to assess progress when targets are broad and general. I have seen target reviews where the comment is ‘ongoing’ term after term after term. If no progress is identified over this amount of time, the target is not appropriate and clearly very difficult to assess. You have probably had SMART (specific, measurable, achievable, realistic, time-bound) targets drilled into you over years. Many people, however, find them hard to write and end up with confusion – hence, the ‘ongoing’ comment. It may be helpful to look at a broader, more comprehensive definition of the acronym.</w:t>
      </w:r>
    </w:p>
    <w:p w14:paraId="1B9F8508" w14:textId="77777777" w:rsidR="001B61D4" w:rsidRPr="001B61D4" w:rsidRDefault="001B61D4" w:rsidP="001B61D4">
      <w:pPr>
        <w:spacing w:before="100" w:beforeAutospacing="1" w:after="100" w:afterAutospacing="1" w:line="259" w:lineRule="auto"/>
        <w:rPr>
          <w:rFonts w:ascii="Calibri" w:eastAsia="Times New Roman" w:hAnsi="Calibri" w:cs="Calibri"/>
          <w:i/>
          <w:lang w:eastAsia="en-GB"/>
        </w:rPr>
      </w:pPr>
      <w:r w:rsidRPr="001B61D4">
        <w:rPr>
          <w:rFonts w:ascii="Calibri" w:eastAsia="Times New Roman" w:hAnsi="Calibri" w:cs="Calibri"/>
          <w:b/>
          <w:bCs/>
          <w:i/>
          <w:lang w:eastAsia="en-GB"/>
        </w:rPr>
        <w:t>S</w:t>
      </w:r>
      <w:r w:rsidRPr="001B61D4">
        <w:rPr>
          <w:rFonts w:ascii="Calibri" w:eastAsia="Times New Roman" w:hAnsi="Calibri" w:cs="Calibri"/>
          <w:i/>
          <w:lang w:eastAsia="en-GB"/>
        </w:rPr>
        <w:t xml:space="preserve"> – specific, significant, stretching</w:t>
      </w:r>
    </w:p>
    <w:p w14:paraId="51BF4CBC" w14:textId="77777777" w:rsidR="001B61D4" w:rsidRPr="001B61D4" w:rsidRDefault="001B61D4" w:rsidP="001B61D4">
      <w:pPr>
        <w:spacing w:before="100" w:beforeAutospacing="1" w:after="100" w:afterAutospacing="1" w:line="259" w:lineRule="auto"/>
        <w:rPr>
          <w:rFonts w:ascii="Calibri" w:eastAsia="Times New Roman" w:hAnsi="Calibri" w:cs="Calibri"/>
          <w:i/>
          <w:lang w:eastAsia="en-GB"/>
        </w:rPr>
      </w:pPr>
      <w:r w:rsidRPr="001B61D4">
        <w:rPr>
          <w:rFonts w:ascii="Calibri" w:eastAsia="Times New Roman" w:hAnsi="Calibri" w:cs="Calibri"/>
          <w:b/>
          <w:bCs/>
          <w:i/>
          <w:lang w:eastAsia="en-GB"/>
        </w:rPr>
        <w:t>M</w:t>
      </w:r>
      <w:r w:rsidRPr="001B61D4">
        <w:rPr>
          <w:rFonts w:ascii="Calibri" w:eastAsia="Times New Roman" w:hAnsi="Calibri" w:cs="Calibri"/>
          <w:i/>
          <w:lang w:eastAsia="en-GB"/>
        </w:rPr>
        <w:t xml:space="preserve"> – measurable, meaningful, motivational</w:t>
      </w:r>
    </w:p>
    <w:p w14:paraId="32EFB76B" w14:textId="77777777" w:rsidR="001B61D4" w:rsidRPr="001B61D4" w:rsidRDefault="001B61D4" w:rsidP="001B61D4">
      <w:pPr>
        <w:spacing w:before="100" w:beforeAutospacing="1" w:after="100" w:afterAutospacing="1" w:line="259" w:lineRule="auto"/>
        <w:rPr>
          <w:rFonts w:ascii="Calibri" w:eastAsia="Times New Roman" w:hAnsi="Calibri" w:cs="Calibri"/>
          <w:i/>
          <w:lang w:eastAsia="en-GB"/>
        </w:rPr>
      </w:pPr>
      <w:r w:rsidRPr="001B61D4">
        <w:rPr>
          <w:rFonts w:ascii="Calibri" w:eastAsia="Times New Roman" w:hAnsi="Calibri" w:cs="Calibri"/>
          <w:b/>
          <w:bCs/>
          <w:i/>
          <w:lang w:eastAsia="en-GB"/>
        </w:rPr>
        <w:t>A</w:t>
      </w:r>
      <w:r w:rsidRPr="001B61D4">
        <w:rPr>
          <w:rFonts w:ascii="Calibri" w:eastAsia="Times New Roman" w:hAnsi="Calibri" w:cs="Calibri"/>
          <w:i/>
          <w:lang w:eastAsia="en-GB"/>
        </w:rPr>
        <w:t xml:space="preserve"> – agreed upon, attainable, achievable, acceptable, action-oriented</w:t>
      </w:r>
    </w:p>
    <w:p w14:paraId="315C45A9" w14:textId="77777777" w:rsidR="001B61D4" w:rsidRPr="001B61D4" w:rsidRDefault="001B61D4" w:rsidP="001B61D4">
      <w:pPr>
        <w:spacing w:before="100" w:beforeAutospacing="1" w:after="100" w:afterAutospacing="1" w:line="259" w:lineRule="auto"/>
        <w:rPr>
          <w:rFonts w:ascii="Calibri" w:eastAsia="Times New Roman" w:hAnsi="Calibri" w:cs="Calibri"/>
          <w:i/>
          <w:lang w:eastAsia="en-GB"/>
        </w:rPr>
      </w:pPr>
      <w:r w:rsidRPr="001B61D4">
        <w:rPr>
          <w:rFonts w:ascii="Calibri" w:eastAsia="Times New Roman" w:hAnsi="Calibri" w:cs="Calibri"/>
          <w:b/>
          <w:bCs/>
          <w:i/>
          <w:lang w:eastAsia="en-GB"/>
        </w:rPr>
        <w:t>R</w:t>
      </w:r>
      <w:r w:rsidRPr="001B61D4">
        <w:rPr>
          <w:rFonts w:ascii="Calibri" w:eastAsia="Times New Roman" w:hAnsi="Calibri" w:cs="Calibri"/>
          <w:i/>
          <w:lang w:eastAsia="en-GB"/>
        </w:rPr>
        <w:t xml:space="preserve"> – realistic, relevant, reasonable, rewarding, results-oriented</w:t>
      </w:r>
    </w:p>
    <w:p w14:paraId="3BE92A4E" w14:textId="77777777" w:rsidR="001B61D4" w:rsidRPr="001B61D4" w:rsidRDefault="001B61D4" w:rsidP="001B61D4">
      <w:pPr>
        <w:spacing w:before="100" w:beforeAutospacing="1" w:after="100" w:afterAutospacing="1" w:line="259" w:lineRule="auto"/>
        <w:rPr>
          <w:rFonts w:ascii="Calibri" w:eastAsia="Times New Roman" w:hAnsi="Calibri" w:cs="Calibri"/>
          <w:i/>
          <w:lang w:eastAsia="en-GB"/>
        </w:rPr>
      </w:pPr>
      <w:r w:rsidRPr="001B61D4">
        <w:rPr>
          <w:rFonts w:ascii="Calibri" w:eastAsia="Times New Roman" w:hAnsi="Calibri" w:cs="Calibri"/>
          <w:b/>
          <w:bCs/>
          <w:i/>
          <w:lang w:eastAsia="en-GB"/>
        </w:rPr>
        <w:t>T</w:t>
      </w:r>
      <w:r w:rsidRPr="001B61D4">
        <w:rPr>
          <w:rFonts w:ascii="Calibri" w:eastAsia="Times New Roman" w:hAnsi="Calibri" w:cs="Calibri"/>
          <w:i/>
          <w:lang w:eastAsia="en-GB"/>
        </w:rPr>
        <w:t xml:space="preserve"> – time-based, time-bound, timely, tangible, trackable</w:t>
      </w:r>
    </w:p>
    <w:p w14:paraId="7B08B7DE" w14:textId="77777777" w:rsidR="001B61D4" w:rsidRPr="001B61D4" w:rsidRDefault="001B61D4" w:rsidP="001B61D4">
      <w:pPr>
        <w:spacing w:before="100" w:beforeAutospacing="1" w:after="100" w:afterAutospacing="1" w:line="259" w:lineRule="auto"/>
        <w:rPr>
          <w:rFonts w:ascii="Calibri" w:eastAsia="Times New Roman" w:hAnsi="Calibri" w:cs="Calibri"/>
          <w:lang w:eastAsia="en-GB"/>
        </w:rPr>
      </w:pPr>
      <w:r w:rsidRPr="001B61D4">
        <w:rPr>
          <w:rFonts w:ascii="Calibri" w:eastAsia="Times New Roman" w:hAnsi="Calibri" w:cs="Calibri"/>
          <w:lang w:eastAsia="en-GB"/>
        </w:rPr>
        <w:t>In addition to the target itself, it is imperative that you consider the resources needed, the level of staff support (independent? physical prompt? verbal prompt?), the relevance with respect to assessment of need and the criteria for success.</w:t>
      </w:r>
    </w:p>
    <w:p w14:paraId="1882AF12" w14:textId="77777777" w:rsidR="001B61D4" w:rsidRPr="001B61D4" w:rsidRDefault="001B61D4" w:rsidP="001B61D4">
      <w:pPr>
        <w:spacing w:before="100" w:beforeAutospacing="1" w:after="100" w:afterAutospacing="1" w:line="259" w:lineRule="auto"/>
        <w:rPr>
          <w:rFonts w:ascii="Calibri" w:eastAsia="Times New Roman" w:hAnsi="Calibri" w:cs="Calibri"/>
          <w:lang w:eastAsia="en-GB"/>
        </w:rPr>
      </w:pPr>
      <w:r w:rsidRPr="001B61D4">
        <w:rPr>
          <w:rFonts w:ascii="Calibri" w:eastAsia="Times New Roman" w:hAnsi="Calibri" w:cs="Calibri"/>
          <w:lang w:eastAsia="en-GB"/>
        </w:rPr>
        <w:t>Let’s consider some examples to help clarify this:</w:t>
      </w:r>
    </w:p>
    <w:tbl>
      <w:tblPr>
        <w:tblStyle w:val="TableGrid"/>
        <w:tblW w:w="0" w:type="auto"/>
        <w:tblLook w:val="04A0" w:firstRow="1" w:lastRow="0" w:firstColumn="1" w:lastColumn="0" w:noHBand="0" w:noVBand="1"/>
      </w:tblPr>
      <w:tblGrid>
        <w:gridCol w:w="4035"/>
        <w:gridCol w:w="4035"/>
      </w:tblGrid>
      <w:tr w:rsidR="001B61D4" w:rsidRPr="001B61D4" w14:paraId="5ACB8754" w14:textId="77777777" w:rsidTr="00181FA2">
        <w:tc>
          <w:tcPr>
            <w:tcW w:w="4035" w:type="dxa"/>
          </w:tcPr>
          <w:p w14:paraId="6882FCE9" w14:textId="77777777" w:rsidR="001B61D4" w:rsidRPr="001B61D4" w:rsidRDefault="001B61D4" w:rsidP="001B61D4">
            <w:pPr>
              <w:spacing w:before="100" w:beforeAutospacing="1" w:after="100" w:afterAutospacing="1"/>
              <w:jc w:val="center"/>
              <w:rPr>
                <w:rFonts w:ascii="Calibri" w:eastAsia="Times New Roman" w:hAnsi="Calibri" w:cs="Calibri"/>
                <w:b/>
                <w:lang w:eastAsia="en-GB"/>
              </w:rPr>
            </w:pPr>
            <w:r w:rsidRPr="001B61D4">
              <w:rPr>
                <w:rFonts w:ascii="Calibri" w:eastAsia="Times New Roman" w:hAnsi="Calibri" w:cs="Calibri"/>
                <w:b/>
                <w:lang w:eastAsia="en-GB"/>
              </w:rPr>
              <w:t>Target</w:t>
            </w:r>
          </w:p>
        </w:tc>
        <w:tc>
          <w:tcPr>
            <w:tcW w:w="4035" w:type="dxa"/>
          </w:tcPr>
          <w:p w14:paraId="042D5967" w14:textId="77777777" w:rsidR="001B61D4" w:rsidRPr="001B61D4" w:rsidRDefault="001B61D4" w:rsidP="001B61D4">
            <w:pPr>
              <w:spacing w:before="100" w:beforeAutospacing="1" w:after="100" w:afterAutospacing="1"/>
              <w:jc w:val="center"/>
              <w:rPr>
                <w:rFonts w:ascii="Calibri" w:eastAsia="Times New Roman" w:hAnsi="Calibri" w:cs="Calibri"/>
                <w:b/>
                <w:lang w:eastAsia="en-GB"/>
              </w:rPr>
            </w:pPr>
            <w:r w:rsidRPr="001B61D4">
              <w:rPr>
                <w:rFonts w:ascii="Calibri" w:eastAsia="Times New Roman" w:hAnsi="Calibri" w:cs="Calibri"/>
                <w:b/>
                <w:lang w:eastAsia="en-GB"/>
              </w:rPr>
              <w:t xml:space="preserve"> Smart target</w:t>
            </w:r>
          </w:p>
        </w:tc>
      </w:tr>
      <w:tr w:rsidR="001B61D4" w:rsidRPr="001B61D4" w14:paraId="46F904D8" w14:textId="77777777" w:rsidTr="00181FA2">
        <w:tc>
          <w:tcPr>
            <w:tcW w:w="4035" w:type="dxa"/>
          </w:tcPr>
          <w:p w14:paraId="4D138339" w14:textId="77777777" w:rsidR="001B61D4" w:rsidRPr="001B61D4" w:rsidRDefault="001B61D4" w:rsidP="001B61D4">
            <w:pPr>
              <w:spacing w:before="100" w:beforeAutospacing="1" w:after="100" w:afterAutospacing="1"/>
              <w:rPr>
                <w:rFonts w:ascii="Calibri" w:eastAsia="Times New Roman" w:hAnsi="Calibri" w:cs="Calibri"/>
                <w:lang w:eastAsia="en-GB"/>
              </w:rPr>
            </w:pPr>
            <w:r w:rsidRPr="001B61D4">
              <w:rPr>
                <w:rFonts w:ascii="Calibri" w:eastAsia="Times New Roman" w:hAnsi="Calibri" w:cs="Calibri"/>
                <w:lang w:eastAsia="en-GB"/>
              </w:rPr>
              <w:t>Chris will know the numbers 1–5.</w:t>
            </w:r>
          </w:p>
        </w:tc>
        <w:tc>
          <w:tcPr>
            <w:tcW w:w="4035" w:type="dxa"/>
          </w:tcPr>
          <w:p w14:paraId="009DF628" w14:textId="77777777" w:rsidR="001B61D4" w:rsidRPr="001B61D4" w:rsidRDefault="001B61D4" w:rsidP="001B61D4">
            <w:pPr>
              <w:spacing w:before="100" w:beforeAutospacing="1" w:after="100" w:afterAutospacing="1"/>
              <w:rPr>
                <w:rFonts w:ascii="Calibri" w:eastAsia="Times New Roman" w:hAnsi="Calibri" w:cs="Calibri"/>
                <w:lang w:eastAsia="en-GB"/>
              </w:rPr>
            </w:pPr>
            <w:r w:rsidRPr="001B61D4">
              <w:rPr>
                <w:rFonts w:ascii="Calibri" w:eastAsia="Times New Roman" w:hAnsi="Calibri" w:cs="Calibri"/>
                <w:lang w:eastAsia="en-GB"/>
              </w:rPr>
              <w:t>Chris will recognise the numbers 1–5 and match to the appropriate number of objects with 80% accuracy.</w:t>
            </w:r>
          </w:p>
        </w:tc>
      </w:tr>
      <w:tr w:rsidR="001B61D4" w:rsidRPr="001B61D4" w14:paraId="2D7F39A4" w14:textId="77777777" w:rsidTr="00181FA2">
        <w:tc>
          <w:tcPr>
            <w:tcW w:w="4035" w:type="dxa"/>
          </w:tcPr>
          <w:p w14:paraId="5A3BA1AB" w14:textId="77777777" w:rsidR="001B61D4" w:rsidRPr="001B61D4" w:rsidRDefault="001B61D4" w:rsidP="001B61D4">
            <w:pPr>
              <w:spacing w:before="100" w:beforeAutospacing="1" w:after="100" w:afterAutospacing="1"/>
              <w:rPr>
                <w:rFonts w:ascii="Calibri" w:eastAsia="Times New Roman" w:hAnsi="Calibri" w:cs="Calibri"/>
                <w:lang w:eastAsia="en-GB"/>
              </w:rPr>
            </w:pPr>
            <w:r w:rsidRPr="001B61D4">
              <w:rPr>
                <w:rFonts w:ascii="Calibri" w:eastAsia="Times New Roman" w:hAnsi="Calibri" w:cs="Calibri"/>
                <w:lang w:eastAsia="en-GB"/>
              </w:rPr>
              <w:t>John will have good eye contact.</w:t>
            </w:r>
          </w:p>
        </w:tc>
        <w:tc>
          <w:tcPr>
            <w:tcW w:w="4035" w:type="dxa"/>
          </w:tcPr>
          <w:p w14:paraId="3CB60233" w14:textId="77777777" w:rsidR="001B61D4" w:rsidRPr="001B61D4" w:rsidRDefault="001B61D4" w:rsidP="001B61D4">
            <w:pPr>
              <w:spacing w:before="100" w:beforeAutospacing="1" w:after="100" w:afterAutospacing="1"/>
              <w:rPr>
                <w:rFonts w:ascii="Calibri" w:eastAsia="Times New Roman" w:hAnsi="Calibri" w:cs="Calibri"/>
                <w:lang w:eastAsia="en-GB"/>
              </w:rPr>
            </w:pPr>
            <w:r w:rsidRPr="001B61D4">
              <w:rPr>
                <w:rFonts w:ascii="Calibri" w:eastAsia="Calibri" w:hAnsi="Calibri" w:cs="Calibri"/>
              </w:rPr>
              <w:t>During small group activities John</w:t>
            </w:r>
            <w:r w:rsidRPr="001B61D4">
              <w:rPr>
                <w:rFonts w:ascii="Calibri" w:eastAsia="Calibri" w:hAnsi="Calibri" w:cs="Calibri"/>
                <w:b/>
                <w:bCs/>
              </w:rPr>
              <w:t xml:space="preserve"> will look at the speaker of the group 90 percent of the time, in 4 out of 5 opportunities</w:t>
            </w:r>
            <w:r w:rsidRPr="001B61D4">
              <w:rPr>
                <w:rFonts w:ascii="Calibri" w:eastAsia="Calibri" w:hAnsi="Calibri" w:cs="Calibri"/>
              </w:rPr>
              <w:t>.</w:t>
            </w:r>
          </w:p>
        </w:tc>
      </w:tr>
      <w:tr w:rsidR="001B61D4" w:rsidRPr="001B61D4" w14:paraId="333E18E2" w14:textId="77777777" w:rsidTr="00181FA2">
        <w:tc>
          <w:tcPr>
            <w:tcW w:w="4035" w:type="dxa"/>
          </w:tcPr>
          <w:p w14:paraId="04D31DA0" w14:textId="77777777" w:rsidR="001B61D4" w:rsidRPr="001B61D4" w:rsidRDefault="001B61D4" w:rsidP="001B61D4">
            <w:pPr>
              <w:spacing w:before="100" w:beforeAutospacing="1" w:after="100" w:afterAutospacing="1"/>
              <w:rPr>
                <w:rFonts w:ascii="Calibri" w:eastAsia="Times New Roman" w:hAnsi="Calibri" w:cs="Calibri"/>
                <w:lang w:eastAsia="en-GB"/>
              </w:rPr>
            </w:pPr>
            <w:r w:rsidRPr="001B61D4">
              <w:rPr>
                <w:rFonts w:ascii="Calibri" w:eastAsia="Times New Roman" w:hAnsi="Calibri" w:cs="Calibri"/>
                <w:lang w:eastAsia="en-GB"/>
              </w:rPr>
              <w:t>Emily will use a calculator to solve maths problems.</w:t>
            </w:r>
          </w:p>
        </w:tc>
        <w:tc>
          <w:tcPr>
            <w:tcW w:w="4035" w:type="dxa"/>
          </w:tcPr>
          <w:p w14:paraId="32243CD2" w14:textId="77777777" w:rsidR="001B61D4" w:rsidRPr="001B61D4" w:rsidRDefault="001B61D4" w:rsidP="001B61D4">
            <w:pPr>
              <w:spacing w:before="100" w:beforeAutospacing="1" w:after="100" w:afterAutospacing="1"/>
              <w:rPr>
                <w:rFonts w:ascii="Calibri" w:eastAsia="Times New Roman" w:hAnsi="Calibri" w:cs="Calibri"/>
                <w:lang w:eastAsia="en-GB"/>
              </w:rPr>
            </w:pPr>
            <w:r w:rsidRPr="001B61D4">
              <w:rPr>
                <w:rFonts w:ascii="Calibri" w:eastAsia="Calibri" w:hAnsi="Calibri" w:cs="Calibri"/>
              </w:rPr>
              <w:t xml:space="preserve">Emily will use a calculator to solve maths problems </w:t>
            </w:r>
            <w:r w:rsidRPr="001B61D4">
              <w:rPr>
                <w:rFonts w:ascii="Calibri" w:eastAsia="Calibri" w:hAnsi="Calibri" w:cs="Calibri"/>
                <w:b/>
                <w:bCs/>
              </w:rPr>
              <w:t>that involve fractions and decimals, with 75 percent accuracy</w:t>
            </w:r>
            <w:r w:rsidRPr="001B61D4">
              <w:rPr>
                <w:rFonts w:ascii="Calibri" w:eastAsia="Calibri" w:hAnsi="Calibri" w:cs="Calibri"/>
              </w:rPr>
              <w:t>.</w:t>
            </w:r>
          </w:p>
        </w:tc>
      </w:tr>
      <w:tr w:rsidR="001B61D4" w:rsidRPr="001B61D4" w14:paraId="5842AC20" w14:textId="77777777" w:rsidTr="00181FA2">
        <w:tc>
          <w:tcPr>
            <w:tcW w:w="4035" w:type="dxa"/>
          </w:tcPr>
          <w:p w14:paraId="704D72B6" w14:textId="77777777" w:rsidR="001B61D4" w:rsidRPr="001B61D4" w:rsidRDefault="001B61D4" w:rsidP="001B61D4">
            <w:pPr>
              <w:spacing w:before="100" w:beforeAutospacing="1" w:after="100" w:afterAutospacing="1"/>
              <w:rPr>
                <w:rFonts w:ascii="Calibri" w:eastAsia="Times New Roman" w:hAnsi="Calibri" w:cs="Calibri"/>
                <w:lang w:eastAsia="en-GB"/>
              </w:rPr>
            </w:pPr>
            <w:r w:rsidRPr="001B61D4">
              <w:rPr>
                <w:rFonts w:ascii="Calibri" w:eastAsia="Times New Roman" w:hAnsi="Calibri" w:cs="Calibri"/>
                <w:lang w:eastAsia="en-GB"/>
              </w:rPr>
              <w:t>Martin will work more independently.</w:t>
            </w:r>
          </w:p>
        </w:tc>
        <w:tc>
          <w:tcPr>
            <w:tcW w:w="4035" w:type="dxa"/>
          </w:tcPr>
          <w:p w14:paraId="66369D70" w14:textId="77777777" w:rsidR="001B61D4" w:rsidRPr="001B61D4" w:rsidRDefault="001B61D4" w:rsidP="001B61D4">
            <w:pPr>
              <w:spacing w:before="100" w:beforeAutospacing="1" w:after="100" w:afterAutospacing="1"/>
              <w:rPr>
                <w:rFonts w:ascii="Calibri" w:eastAsia="Times New Roman" w:hAnsi="Calibri" w:cs="Calibri"/>
                <w:lang w:eastAsia="en-GB"/>
              </w:rPr>
            </w:pPr>
            <w:r w:rsidRPr="001B61D4">
              <w:rPr>
                <w:rFonts w:ascii="Calibri" w:eastAsia="Times New Roman" w:hAnsi="Calibri" w:cs="Calibri"/>
                <w:lang w:eastAsia="en-GB"/>
              </w:rPr>
              <w:t xml:space="preserve">Martin will increase his independent work by completing one task with one or less adult prompts when given 3 out of 5 opportunities to do so. </w:t>
            </w:r>
          </w:p>
        </w:tc>
      </w:tr>
      <w:tr w:rsidR="001B61D4" w:rsidRPr="001B61D4" w14:paraId="74238EDB" w14:textId="77777777" w:rsidTr="00181FA2">
        <w:tc>
          <w:tcPr>
            <w:tcW w:w="4035" w:type="dxa"/>
          </w:tcPr>
          <w:p w14:paraId="10D22AAF" w14:textId="77777777" w:rsidR="001B61D4" w:rsidRPr="001B61D4" w:rsidRDefault="001B61D4" w:rsidP="001B61D4">
            <w:pPr>
              <w:spacing w:before="100" w:beforeAutospacing="1" w:after="100" w:afterAutospacing="1"/>
              <w:rPr>
                <w:rFonts w:ascii="Calibri" w:eastAsia="Times New Roman" w:hAnsi="Calibri" w:cs="Calibri"/>
                <w:lang w:eastAsia="en-GB"/>
              </w:rPr>
            </w:pPr>
            <w:proofErr w:type="spellStart"/>
            <w:r w:rsidRPr="001B61D4">
              <w:rPr>
                <w:rFonts w:ascii="Calibri" w:eastAsia="Times New Roman" w:hAnsi="Calibri" w:cs="Calibri"/>
                <w:lang w:eastAsia="en-GB"/>
              </w:rPr>
              <w:t>Iyesha</w:t>
            </w:r>
            <w:proofErr w:type="spellEnd"/>
            <w:r w:rsidRPr="001B61D4">
              <w:rPr>
                <w:rFonts w:ascii="Calibri" w:eastAsia="Times New Roman" w:hAnsi="Calibri" w:cs="Calibri"/>
                <w:lang w:eastAsia="en-GB"/>
              </w:rPr>
              <w:t xml:space="preserve"> will respond to questions in her work.</w:t>
            </w:r>
          </w:p>
        </w:tc>
        <w:tc>
          <w:tcPr>
            <w:tcW w:w="4035" w:type="dxa"/>
          </w:tcPr>
          <w:p w14:paraId="69BC33FE" w14:textId="77777777" w:rsidR="001B61D4" w:rsidRPr="001B61D4" w:rsidRDefault="001B61D4" w:rsidP="001B61D4">
            <w:pPr>
              <w:spacing w:before="100" w:beforeAutospacing="1" w:after="100" w:afterAutospacing="1"/>
              <w:rPr>
                <w:rFonts w:ascii="Calibri" w:eastAsia="Times New Roman" w:hAnsi="Calibri" w:cs="Calibri"/>
                <w:lang w:eastAsia="en-GB"/>
              </w:rPr>
            </w:pPr>
            <w:proofErr w:type="spellStart"/>
            <w:r w:rsidRPr="001B61D4">
              <w:rPr>
                <w:rFonts w:ascii="Calibri" w:eastAsia="Times New Roman" w:hAnsi="Calibri" w:cs="Calibri"/>
                <w:lang w:eastAsia="en-GB"/>
              </w:rPr>
              <w:t>Iyesha</w:t>
            </w:r>
            <w:proofErr w:type="spellEnd"/>
            <w:r w:rsidRPr="001B61D4">
              <w:rPr>
                <w:rFonts w:ascii="Calibri" w:eastAsia="Times New Roman" w:hAnsi="Calibri" w:cs="Calibri"/>
                <w:lang w:eastAsia="en-GB"/>
              </w:rPr>
              <w:t xml:space="preserve"> will answer who, what, where, why and when questions on a given passage with 70% accuracy. </w:t>
            </w:r>
          </w:p>
        </w:tc>
      </w:tr>
    </w:tbl>
    <w:p w14:paraId="132C63DE" w14:textId="77777777" w:rsidR="001B61D4" w:rsidRPr="001B61D4" w:rsidRDefault="001B61D4" w:rsidP="001B61D4">
      <w:pPr>
        <w:spacing w:after="160" w:line="259" w:lineRule="auto"/>
        <w:contextualSpacing/>
        <w:rPr>
          <w:rFonts w:ascii="Calibri" w:eastAsia="Calibri" w:hAnsi="Calibri" w:cs="Calibri"/>
        </w:rPr>
      </w:pPr>
    </w:p>
    <w:p w14:paraId="28FFFC50" w14:textId="77777777" w:rsidR="001B61D4" w:rsidRPr="001B61D4" w:rsidRDefault="001B61D4" w:rsidP="001B61D4">
      <w:pPr>
        <w:spacing w:after="160" w:line="259" w:lineRule="auto"/>
        <w:contextualSpacing/>
        <w:rPr>
          <w:rFonts w:ascii="Calibri" w:eastAsia="Calibri" w:hAnsi="Calibri" w:cs="Calibri"/>
        </w:rPr>
      </w:pPr>
      <w:r w:rsidRPr="001B61D4">
        <w:rPr>
          <w:rFonts w:ascii="Calibri" w:eastAsia="Calibri" w:hAnsi="Calibri" w:cs="Calibri"/>
        </w:rPr>
        <w:t xml:space="preserve">Your recording system also needs to be considered. How often are you making note of the success the child is making? How many times does the child have to achieve success before you consider the target met? Will you revisit the target after you have considered it met, to ensure the information/skill is retained and consolidated? How will you extend learning after this target is considered achieved? As mentioned in other areas of the book, remember to give ownership of the targets to the child. You may set the targets for staff attention but personalise them in a child friendly format to give ownership to the pupil. </w:t>
      </w:r>
    </w:p>
    <w:p w14:paraId="7F7F5988" w14:textId="77777777" w:rsidR="001B61D4" w:rsidRPr="001B61D4" w:rsidRDefault="001B61D4" w:rsidP="001B61D4">
      <w:pPr>
        <w:spacing w:after="160" w:line="259" w:lineRule="auto"/>
        <w:contextualSpacing/>
        <w:rPr>
          <w:rFonts w:ascii="Calibri" w:eastAsia="Calibri" w:hAnsi="Calibri" w:cs="Calibri"/>
        </w:rPr>
      </w:pPr>
    </w:p>
    <w:p w14:paraId="3B8FFE90" w14:textId="77777777" w:rsidR="00F56312" w:rsidRDefault="00F56312"/>
    <w:sectPr w:rsidR="00F56312" w:rsidSect="00744118">
      <w:headerReference w:type="default" r:id="rId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04F3D" w14:textId="77777777" w:rsidR="009774B3" w:rsidRDefault="009774B3" w:rsidP="00687A87">
      <w:r>
        <w:separator/>
      </w:r>
    </w:p>
  </w:endnote>
  <w:endnote w:type="continuationSeparator" w:id="0">
    <w:p w14:paraId="5EF4112A" w14:textId="77777777" w:rsidR="009774B3" w:rsidRDefault="009774B3" w:rsidP="00687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DF238" w14:textId="62AD7948" w:rsidR="00687A87" w:rsidRDefault="00687A87">
    <w:pPr>
      <w:pStyle w:val="Footer"/>
    </w:pPr>
    <w:r w:rsidRPr="004814A6">
      <w:t>100 Ideas for Primary Teachers: Supporting Pupils with Autism © Francine Brower,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6B357" w14:textId="77777777" w:rsidR="009774B3" w:rsidRDefault="009774B3" w:rsidP="00687A87">
      <w:r>
        <w:separator/>
      </w:r>
    </w:p>
  </w:footnote>
  <w:footnote w:type="continuationSeparator" w:id="0">
    <w:p w14:paraId="0E393B80" w14:textId="77777777" w:rsidR="009774B3" w:rsidRDefault="009774B3" w:rsidP="00687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04020" w14:textId="77777777" w:rsidR="00687A87" w:rsidRPr="001B61D4" w:rsidRDefault="00687A87" w:rsidP="00687A87">
    <w:pPr>
      <w:spacing w:after="160" w:line="259" w:lineRule="auto"/>
      <w:rPr>
        <w:rFonts w:ascii="Calibri" w:eastAsia="Calibri" w:hAnsi="Calibri" w:cs="Calibri"/>
      </w:rPr>
    </w:pPr>
    <w:r w:rsidRPr="001B61D4">
      <w:rPr>
        <w:rFonts w:ascii="Calibri" w:eastAsia="Calibri" w:hAnsi="Calibri" w:cs="Calibri"/>
      </w:rPr>
      <w:t xml:space="preserve">Idea 33: They’re </w:t>
    </w:r>
    <w:r w:rsidRPr="001B61D4">
      <w:rPr>
        <w:rFonts w:ascii="Calibri" w:eastAsia="Calibri" w:hAnsi="Calibri" w:cs="Calibri"/>
        <w:i/>
      </w:rPr>
      <w:t>my</w:t>
    </w:r>
    <w:r w:rsidRPr="001B61D4">
      <w:rPr>
        <w:rFonts w:ascii="Calibri" w:eastAsia="Calibri" w:hAnsi="Calibri" w:cs="Calibri"/>
      </w:rPr>
      <w:t xml:space="preserve"> targets  </w:t>
    </w:r>
  </w:p>
  <w:p w14:paraId="7F685732" w14:textId="77777777" w:rsidR="00687A87" w:rsidRDefault="00687A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D4"/>
    <w:rsid w:val="001B61D4"/>
    <w:rsid w:val="00687A87"/>
    <w:rsid w:val="00744118"/>
    <w:rsid w:val="009774B3"/>
    <w:rsid w:val="00F56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3249A"/>
  <w15:chartTrackingRefBased/>
  <w15:docId w15:val="{8711BC45-1DC0-7A44-9B56-6B517FD3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61D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7A87"/>
    <w:pPr>
      <w:tabs>
        <w:tab w:val="center" w:pos="4680"/>
        <w:tab w:val="right" w:pos="9360"/>
      </w:tabs>
    </w:pPr>
  </w:style>
  <w:style w:type="character" w:customStyle="1" w:styleId="HeaderChar">
    <w:name w:val="Header Char"/>
    <w:basedOn w:val="DefaultParagraphFont"/>
    <w:link w:val="Header"/>
    <w:uiPriority w:val="99"/>
    <w:rsid w:val="00687A87"/>
  </w:style>
  <w:style w:type="paragraph" w:styleId="Footer">
    <w:name w:val="footer"/>
    <w:basedOn w:val="Normal"/>
    <w:link w:val="FooterChar"/>
    <w:uiPriority w:val="99"/>
    <w:unhideWhenUsed/>
    <w:rsid w:val="00687A87"/>
    <w:pPr>
      <w:tabs>
        <w:tab w:val="center" w:pos="4680"/>
        <w:tab w:val="right" w:pos="9360"/>
      </w:tabs>
    </w:pPr>
  </w:style>
  <w:style w:type="character" w:customStyle="1" w:styleId="FooterChar">
    <w:name w:val="Footer Char"/>
    <w:basedOn w:val="DefaultParagraphFont"/>
    <w:link w:val="Footer"/>
    <w:uiPriority w:val="99"/>
    <w:rsid w:val="00687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Fitzsimmons</dc:creator>
  <cp:keywords/>
  <dc:description/>
  <cp:lastModifiedBy>Chloe Fitzsimmons</cp:lastModifiedBy>
  <cp:revision>2</cp:revision>
  <dcterms:created xsi:type="dcterms:W3CDTF">2019-03-19T15:27:00Z</dcterms:created>
  <dcterms:modified xsi:type="dcterms:W3CDTF">2019-03-19T15:50:00Z</dcterms:modified>
</cp:coreProperties>
</file>