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B2" w:rsidRPr="00691614" w:rsidRDefault="000D7AB2" w:rsidP="000D7AB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9161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Classical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Conditioning</w:t>
      </w:r>
    </w:p>
    <w:p w:rsidR="000D7AB2" w:rsidRPr="00691614" w:rsidRDefault="000D7AB2" w:rsidP="000D7AB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D7AB2" w:rsidRDefault="000D7AB2" w:rsidP="000D7AB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91614">
        <w:rPr>
          <w:rFonts w:ascii="Times New Roman" w:eastAsia="Times New Roman" w:hAnsi="Times New Roman" w:cs="Times New Roman"/>
          <w:bCs/>
          <w:sz w:val="20"/>
          <w:szCs w:val="20"/>
        </w:rPr>
        <w:t>The textbook introduces classical conditioning and operant conditioning, but students may need more information and explanation of these types of learning and their distinction.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Thus, this exercise focuses on providing more information and interaction with classical conditioning.</w:t>
      </w:r>
    </w:p>
    <w:p w:rsidR="000D7AB2" w:rsidRDefault="000D7AB2" w:rsidP="000D7AB2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D7AB2" w:rsidRDefault="000D7AB2" w:rsidP="000D7AB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Some recommended video options for students who have limited knowledge of conditioning or learning theory:</w:t>
      </w:r>
    </w:p>
    <w:p w:rsidR="000D7AB2" w:rsidRDefault="000D7AB2" w:rsidP="000D7AB2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Andover’s Ted-Ed video: </w:t>
      </w:r>
      <w:hyperlink r:id="rId5" w:history="1">
        <w:r w:rsidRPr="00B17F7A">
          <w:rPr>
            <w:rStyle w:val="Hyperlink"/>
            <w:bCs/>
            <w:sz w:val="20"/>
            <w:szCs w:val="20"/>
          </w:rPr>
          <w:t>https://www.youtube.com/watch?v=H6LEcM0E0io</w:t>
        </w:r>
      </w:hyperlink>
    </w:p>
    <w:p w:rsidR="000D7AB2" w:rsidRDefault="000D7AB2" w:rsidP="000D7AB2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Sprout: </w:t>
      </w:r>
      <w:hyperlink r:id="rId6" w:history="1">
        <w:r w:rsidRPr="00B17F7A">
          <w:rPr>
            <w:rStyle w:val="Hyperlink"/>
            <w:bCs/>
            <w:sz w:val="20"/>
            <w:szCs w:val="20"/>
          </w:rPr>
          <w:t>https://www.youtube.com/watch?app=desktop&amp;v=jd7Jdug5SRc</w:t>
        </w:r>
      </w:hyperlink>
      <w:r>
        <w:rPr>
          <w:bCs/>
          <w:sz w:val="20"/>
          <w:szCs w:val="20"/>
        </w:rPr>
        <w:br/>
      </w:r>
      <w:proofErr w:type="gramStart"/>
      <w:r>
        <w:rPr>
          <w:bCs/>
          <w:sz w:val="20"/>
          <w:szCs w:val="20"/>
        </w:rPr>
        <w:t>This</w:t>
      </w:r>
      <w:proofErr w:type="gramEnd"/>
      <w:r>
        <w:rPr>
          <w:bCs/>
          <w:sz w:val="20"/>
          <w:szCs w:val="20"/>
        </w:rPr>
        <w:t xml:space="preserve"> video contains a classroom exercise at its end.</w:t>
      </w:r>
    </w:p>
    <w:p w:rsidR="000D7AB2" w:rsidRDefault="000D7AB2" w:rsidP="000D7AB2">
      <w:pPr>
        <w:pStyle w:val="ListParagraph"/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Crash Course Psychology, Episode #11: </w:t>
      </w:r>
      <w:hyperlink r:id="rId7" w:history="1">
        <w:r w:rsidRPr="00B17F7A">
          <w:rPr>
            <w:rStyle w:val="Hyperlink"/>
            <w:bCs/>
            <w:sz w:val="20"/>
            <w:szCs w:val="20"/>
          </w:rPr>
          <w:t>https://www.youtube.com/watch?v=qG2SwE_6uVM&amp;t=311s</w:t>
        </w:r>
      </w:hyperlink>
    </w:p>
    <w:p w:rsidR="000D7AB2" w:rsidRDefault="000D7AB2" w:rsidP="000D7AB2">
      <w:pPr>
        <w:rPr>
          <w:bCs/>
          <w:sz w:val="20"/>
          <w:szCs w:val="20"/>
        </w:rPr>
      </w:pPr>
    </w:p>
    <w:p w:rsidR="000D7AB2" w:rsidRDefault="000D7AB2" w:rsidP="000D7AB2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63673">
        <w:rPr>
          <w:rFonts w:ascii="Times New Roman" w:eastAsia="Times New Roman" w:hAnsi="Times New Roman" w:cs="Times New Roman"/>
          <w:bCs/>
          <w:sz w:val="20"/>
          <w:szCs w:val="20"/>
        </w:rPr>
        <w:t xml:space="preserve">Sometimes students understand classical conditioning more easily when they understand its role in daily activities, like eating. The following examples provide everyday experiences they may have had with classical conditioning. </w:t>
      </w:r>
      <w:r w:rsidRPr="00B63673">
        <w:rPr>
          <w:rFonts w:ascii="Times New Roman" w:eastAsia="Times New Roman" w:hAnsi="Times New Roman" w:cs="Times New Roman"/>
          <w:b/>
          <w:bCs/>
          <w:sz w:val="20"/>
          <w:szCs w:val="20"/>
        </w:rPr>
        <w:t>Ask students to consider each of the following scenarios, and identify the Conditioned Stimulus (CS), Unconditioned Stimulus (US), Conditioned Response (CR), and Unconditioned Response (UR).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The first example describes Pavlov’s experimental procedure and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is worked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>, with explanation, as an example.</w:t>
      </w:r>
    </w:p>
    <w:p w:rsidR="000D7AB2" w:rsidRDefault="000D7AB2" w:rsidP="000D7AB2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7AB2" w:rsidTr="00130D2A">
        <w:tc>
          <w:tcPr>
            <w:tcW w:w="9350" w:type="dxa"/>
            <w:gridSpan w:val="2"/>
            <w:shd w:val="clear" w:color="auto" w:fill="D0CECE" w:themeFill="background2" w:themeFillShade="E6"/>
          </w:tcPr>
          <w:p w:rsidR="000D7AB2" w:rsidRPr="004F5634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F5634">
              <w:rPr>
                <w:bCs/>
                <w:sz w:val="20"/>
                <w:szCs w:val="20"/>
              </w:rPr>
              <w:t>Pavlov sounded a tuning fork a few seconds prior to food deliveries that were spaced by several minutes. After repeated exposure to the tone-food trials, dogs began salivating to the tone/sound from the tuning fork.</w:t>
            </w:r>
          </w:p>
        </w:tc>
      </w:tr>
      <w:tr w:rsidR="000D7AB2" w:rsidTr="00130D2A">
        <w:tc>
          <w:tcPr>
            <w:tcW w:w="4675" w:type="dxa"/>
            <w:shd w:val="clear" w:color="auto" w:fill="D0CECE" w:themeFill="background2" w:themeFillShade="E6"/>
          </w:tcPr>
          <w:p w:rsidR="000D7AB2" w:rsidRPr="00B77997" w:rsidRDefault="000D7AB2" w:rsidP="00130D2A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779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US:</w:t>
            </w:r>
            <w:r w:rsidRPr="00B779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Food</w:t>
            </w:r>
            <w:r w:rsidRPr="00B779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br/>
              <w:t>(this will be a stimulus that elicits an involuntary reaction prior to learning/trials)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:rsidR="000D7AB2" w:rsidRPr="00B77997" w:rsidRDefault="000D7AB2" w:rsidP="00130D2A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779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UR:</w:t>
            </w:r>
            <w:r w:rsidRPr="00B779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Salivation to the presence of food</w:t>
            </w:r>
            <w:r w:rsidRPr="00B779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br/>
              <w:t>(this will be an involuntary response that occurs without prior learning/trials)</w:t>
            </w:r>
          </w:p>
        </w:tc>
      </w:tr>
      <w:tr w:rsidR="000D7AB2" w:rsidTr="00130D2A">
        <w:tc>
          <w:tcPr>
            <w:tcW w:w="4675" w:type="dxa"/>
            <w:shd w:val="clear" w:color="auto" w:fill="D0CECE" w:themeFill="background2" w:themeFillShade="E6"/>
          </w:tcPr>
          <w:p w:rsidR="000D7AB2" w:rsidRPr="00B77997" w:rsidRDefault="000D7AB2" w:rsidP="00130D2A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779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CS:</w:t>
            </w:r>
            <w:r w:rsidRPr="00B779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Tone/Sounds from tuning fork</w:t>
            </w:r>
          </w:p>
          <w:p w:rsidR="000D7AB2" w:rsidRPr="00B77997" w:rsidRDefault="000D7AB2" w:rsidP="00130D2A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779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(this will be a stimulus that elicits an involuntary reaction after learning that it predicts presentation of a US_</w:t>
            </w:r>
          </w:p>
        </w:tc>
        <w:tc>
          <w:tcPr>
            <w:tcW w:w="4675" w:type="dxa"/>
            <w:shd w:val="clear" w:color="auto" w:fill="D0CECE" w:themeFill="background2" w:themeFillShade="E6"/>
          </w:tcPr>
          <w:p w:rsidR="000D7AB2" w:rsidRPr="00B77997" w:rsidRDefault="000D7AB2" w:rsidP="00130D2A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7799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CR:</w:t>
            </w:r>
            <w:r w:rsidRPr="00B779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Salivation to the sound of the tuning fork</w:t>
            </w:r>
          </w:p>
          <w:p w:rsidR="000D7AB2" w:rsidRPr="00B77997" w:rsidRDefault="000D7AB2" w:rsidP="00130D2A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B779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(this will be a response to the CS, or a response that occurs to a previously neutral stimulus that has acquired conditioned properties through its prediction of a US)</w:t>
            </w:r>
          </w:p>
        </w:tc>
      </w:tr>
      <w:tr w:rsidR="000D7AB2" w:rsidRPr="00B63673" w:rsidTr="00130D2A">
        <w:tc>
          <w:tcPr>
            <w:tcW w:w="9350" w:type="dxa"/>
            <w:gridSpan w:val="2"/>
          </w:tcPr>
          <w:p w:rsidR="000D7AB2" w:rsidRPr="00B63673" w:rsidRDefault="000D7AB2" w:rsidP="00130D2A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Chris grew nauseous and eventually very ill, vomiting nearly all night, after eating a turkey and mayonnaise croissant from a street deli. Chris now becomes nauseous at the sight of mayonnaise and cold-cut turkey.</w:t>
            </w:r>
          </w:p>
        </w:tc>
      </w:tr>
      <w:tr w:rsidR="000D7AB2" w:rsidTr="00130D2A"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7AB2" w:rsidTr="00130D2A">
        <w:tc>
          <w:tcPr>
            <w:tcW w:w="4675" w:type="dxa"/>
          </w:tcPr>
          <w:p w:rsidR="000D7AB2" w:rsidRPr="008960AD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5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7AB2" w:rsidRPr="00B63673" w:rsidTr="00130D2A">
        <w:tc>
          <w:tcPr>
            <w:tcW w:w="9350" w:type="dxa"/>
            <w:gridSpan w:val="2"/>
          </w:tcPr>
          <w:p w:rsidR="000D7AB2" w:rsidRPr="00B63673" w:rsidRDefault="000D7AB2" w:rsidP="00130D2A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When Jamillah consumes margaritas, she is with friends, </w:t>
            </w:r>
            <w:proofErr w:type="gramStart"/>
            <w:r>
              <w:rPr>
                <w:bCs/>
                <w:sz w:val="20"/>
                <w:szCs w:val="20"/>
              </w:rPr>
              <w:t>care-free</w:t>
            </w:r>
            <w:proofErr w:type="gramEnd"/>
            <w:r>
              <w:rPr>
                <w:bCs/>
                <w:sz w:val="20"/>
                <w:szCs w:val="20"/>
              </w:rPr>
              <w:t>, and having a good time. Thus, Jamillah smiles just thinking about margarita night and gets excited about the sight of a margarita approaching in the restaurant.</w:t>
            </w:r>
          </w:p>
        </w:tc>
      </w:tr>
      <w:tr w:rsidR="000D7AB2" w:rsidTr="00130D2A"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7AB2" w:rsidTr="00130D2A">
        <w:tc>
          <w:tcPr>
            <w:tcW w:w="4675" w:type="dxa"/>
          </w:tcPr>
          <w:p w:rsidR="000D7AB2" w:rsidRPr="008960AD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5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7AB2" w:rsidRPr="00B63673" w:rsidTr="00130D2A">
        <w:tc>
          <w:tcPr>
            <w:tcW w:w="9350" w:type="dxa"/>
            <w:gridSpan w:val="2"/>
          </w:tcPr>
          <w:p w:rsidR="000D7AB2" w:rsidRPr="00B63673" w:rsidRDefault="000D7AB2" w:rsidP="00130D2A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Stephanie’s lunch of </w:t>
            </w:r>
            <w:proofErr w:type="spellStart"/>
            <w:r>
              <w:rPr>
                <w:bCs/>
                <w:sz w:val="20"/>
                <w:szCs w:val="20"/>
              </w:rPr>
              <w:t>saag</w:t>
            </w:r>
            <w:proofErr w:type="spellEnd"/>
            <w:r>
              <w:rPr>
                <w:bCs/>
                <w:sz w:val="20"/>
                <w:szCs w:val="20"/>
              </w:rPr>
              <w:t xml:space="preserve"> paneer was so </w:t>
            </w:r>
            <w:proofErr w:type="gramStart"/>
            <w:r>
              <w:rPr>
                <w:bCs/>
                <w:sz w:val="20"/>
                <w:szCs w:val="20"/>
              </w:rPr>
              <w:t>yummy,</w:t>
            </w:r>
            <w:proofErr w:type="gramEnd"/>
            <w:r>
              <w:rPr>
                <w:bCs/>
                <w:sz w:val="20"/>
                <w:szCs w:val="20"/>
              </w:rPr>
              <w:t xml:space="preserve"> she ate too much and felt bloated and lethargic afterward. When she visited her refrigerator the next day, she turned up her nose at the leftovers and avoided eating them.</w:t>
            </w:r>
          </w:p>
        </w:tc>
      </w:tr>
      <w:tr w:rsidR="000D7AB2" w:rsidTr="00130D2A"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7AB2" w:rsidTr="00130D2A">
        <w:tc>
          <w:tcPr>
            <w:tcW w:w="4675" w:type="dxa"/>
          </w:tcPr>
          <w:p w:rsidR="000D7AB2" w:rsidRPr="008960AD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5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7AB2" w:rsidRPr="00B63673" w:rsidTr="00130D2A">
        <w:tc>
          <w:tcPr>
            <w:tcW w:w="9350" w:type="dxa"/>
            <w:gridSpan w:val="2"/>
          </w:tcPr>
          <w:p w:rsidR="000D7AB2" w:rsidRPr="00B63673" w:rsidRDefault="000D7AB2" w:rsidP="00130D2A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Jackson was excited to see the festival lights in town because they signaled the upcoming presence of his favorite festival foods.</w:t>
            </w:r>
          </w:p>
        </w:tc>
      </w:tr>
      <w:tr w:rsidR="000D7AB2" w:rsidTr="00130D2A"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7AB2" w:rsidTr="00130D2A">
        <w:tc>
          <w:tcPr>
            <w:tcW w:w="4675" w:type="dxa"/>
          </w:tcPr>
          <w:p w:rsidR="000D7AB2" w:rsidRPr="008960AD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5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7AB2" w:rsidRPr="00B63673" w:rsidTr="00130D2A">
        <w:tc>
          <w:tcPr>
            <w:tcW w:w="9350" w:type="dxa"/>
            <w:gridSpan w:val="2"/>
          </w:tcPr>
          <w:p w:rsidR="000D7AB2" w:rsidRPr="00B63673" w:rsidRDefault="000D7AB2" w:rsidP="00130D2A">
            <w:pPr>
              <w:pStyle w:val="ListParagraph"/>
              <w:numPr>
                <w:ilvl w:val="0"/>
                <w:numId w:val="2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Hassan never returned to a restaurant he visited because the dirt and bugs present in the dining room elicited disgust while he was trying to eat there.</w:t>
            </w:r>
          </w:p>
        </w:tc>
      </w:tr>
      <w:tr w:rsidR="000D7AB2" w:rsidTr="00130D2A"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D7AB2" w:rsidTr="00130D2A">
        <w:tc>
          <w:tcPr>
            <w:tcW w:w="4675" w:type="dxa"/>
          </w:tcPr>
          <w:p w:rsidR="000D7AB2" w:rsidRPr="008960AD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36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CS: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5" w:type="dxa"/>
          </w:tcPr>
          <w:p w:rsidR="000D7AB2" w:rsidRDefault="000D7AB2" w:rsidP="00130D2A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5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0D7AB2" w:rsidRDefault="000D7AB2" w:rsidP="000D7AB2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D7AB2" w:rsidRDefault="000D7AB2" w:rsidP="000D7AB2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27305D" w:rsidRPr="000D7AB2" w:rsidRDefault="0027305D" w:rsidP="000D7AB2">
      <w:bookmarkStart w:id="0" w:name="_GoBack"/>
      <w:bookmarkEnd w:id="0"/>
    </w:p>
    <w:sectPr w:rsidR="0027305D" w:rsidRPr="000D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99E"/>
    <w:multiLevelType w:val="hybridMultilevel"/>
    <w:tmpl w:val="A066D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64199"/>
    <w:multiLevelType w:val="hybridMultilevel"/>
    <w:tmpl w:val="B1382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0C"/>
    <w:rsid w:val="000D7AB2"/>
    <w:rsid w:val="0027305D"/>
    <w:rsid w:val="004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5D7B-B3A9-42E3-819B-42AEE72F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AB2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B2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D7A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7AB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G2SwE_6uVM&amp;t=311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jd7Jdug5SRc" TargetMode="External"/><Relationship Id="rId5" Type="http://schemas.openxmlformats.org/officeDocument/2006/relationships/hyperlink" Target="https://www.youtube.com/watch?v=H6LEcM0E0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Company>Bloomsbury Publishing Plc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McMahon</dc:creator>
  <cp:keywords/>
  <dc:description/>
  <cp:lastModifiedBy>Lily McMahon</cp:lastModifiedBy>
  <cp:revision>2</cp:revision>
  <dcterms:created xsi:type="dcterms:W3CDTF">2021-12-07T11:27:00Z</dcterms:created>
  <dcterms:modified xsi:type="dcterms:W3CDTF">2021-12-07T11:28:00Z</dcterms:modified>
</cp:coreProperties>
</file>