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49" w:rsidRPr="0001513B" w:rsidRDefault="00723B49" w:rsidP="00723B4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513B">
        <w:rPr>
          <w:rFonts w:ascii="Times New Roman" w:eastAsia="Times New Roman" w:hAnsi="Times New Roman" w:cs="Times New Roman"/>
          <w:b/>
          <w:bCs/>
          <w:sz w:val="20"/>
          <w:szCs w:val="20"/>
        </w:rPr>
        <w:t>Boredom and EAH</w:t>
      </w: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The concept of </w:t>
      </w:r>
      <w:r w:rsidRPr="0001513B">
        <w:rPr>
          <w:rFonts w:ascii="Times New Roman" w:eastAsia="Times New Roman" w:hAnsi="Times New Roman" w:cs="Times New Roman"/>
          <w:bCs/>
          <w:i/>
          <w:sz w:val="20"/>
          <w:szCs w:val="20"/>
        </w:rPr>
        <w:t>boredom</w:t>
      </w:r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recent research on boredom </w:t>
      </w:r>
      <w:proofErr w:type="gramStart"/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>was explored</w:t>
      </w:r>
      <w:proofErr w:type="gramEnd"/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 on several podcasts:</w:t>
      </w:r>
    </w:p>
    <w:p w:rsidR="00723B49" w:rsidRPr="0001513B" w:rsidRDefault="00723B49" w:rsidP="00723B49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hyperlink r:id="rId5" w:history="1">
        <w:r w:rsidRPr="0001513B">
          <w:rPr>
            <w:rStyle w:val="Hyperlink"/>
            <w:bCs/>
            <w:sz w:val="20"/>
            <w:szCs w:val="20"/>
          </w:rPr>
          <w:t>https://99percentinvisible.org/episode/the-natural-experiment/2/</w:t>
        </w:r>
      </w:hyperlink>
      <w:r w:rsidRPr="0001513B">
        <w:rPr>
          <w:bCs/>
          <w:sz w:val="20"/>
          <w:szCs w:val="20"/>
        </w:rPr>
        <w:t xml:space="preserve"> (psychologist Erin Westgate)</w:t>
      </w:r>
    </w:p>
    <w:p w:rsidR="00723B49" w:rsidRPr="0001513B" w:rsidRDefault="00723B49" w:rsidP="00723B49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hyperlink r:id="rId6" w:history="1">
        <w:r w:rsidRPr="0001513B">
          <w:rPr>
            <w:rStyle w:val="Hyperlink"/>
            <w:bCs/>
            <w:sz w:val="20"/>
            <w:szCs w:val="20"/>
          </w:rPr>
          <w:t>https://freakonomics.com/podcast/boring-rebroadcast/</w:t>
        </w:r>
      </w:hyperlink>
      <w:r w:rsidRPr="0001513B">
        <w:rPr>
          <w:bCs/>
          <w:sz w:val="20"/>
          <w:szCs w:val="20"/>
        </w:rPr>
        <w:t xml:space="preserve"> (psychologists Dan Gilbert and Angela Duckworth)</w:t>
      </w:r>
    </w:p>
    <w:p w:rsidR="00723B49" w:rsidRPr="0001513B" w:rsidRDefault="00723B49" w:rsidP="00723B49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hyperlink r:id="rId7" w:history="1">
        <w:r w:rsidRPr="0001513B">
          <w:rPr>
            <w:rStyle w:val="Hyperlink"/>
            <w:bCs/>
            <w:sz w:val="20"/>
            <w:szCs w:val="20"/>
          </w:rPr>
          <w:t>https://podcasts.apple.com/us/podcast/why-is-it-so-hard-to-be-alone-with-our-thoughts/id1510056899?i=1000484550308</w:t>
        </w:r>
      </w:hyperlink>
      <w:r w:rsidRPr="0001513B">
        <w:rPr>
          <w:bCs/>
          <w:sz w:val="20"/>
          <w:szCs w:val="20"/>
        </w:rPr>
        <w:t xml:space="preserve"> (Is mind wandering without purpose connected to happiness?)</w:t>
      </w:r>
    </w:p>
    <w:p w:rsidR="00723B49" w:rsidRPr="0001513B" w:rsidRDefault="00723B49" w:rsidP="00723B49">
      <w:pPr>
        <w:rPr>
          <w:rFonts w:ascii="Times New Roman" w:hAnsi="Times New Roman" w:cs="Times New Roman"/>
          <w:bCs/>
          <w:sz w:val="20"/>
          <w:szCs w:val="20"/>
        </w:rPr>
      </w:pP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</w:pPr>
      <w:r w:rsidRPr="0001513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</w:rPr>
        <w:t>Research on boredom that is described in these podcasts appears in the following articles:</w:t>
      </w:r>
    </w:p>
    <w:p w:rsidR="00723B49" w:rsidRPr="0001513B" w:rsidRDefault="00723B49" w:rsidP="00723B49">
      <w:pPr>
        <w:ind w:left="1080" w:hanging="720"/>
        <w:rPr>
          <w:rFonts w:ascii="Times New Roman" w:hAnsi="Times New Roman" w:cs="Times New Roman"/>
          <w:bCs/>
          <w:sz w:val="20"/>
          <w:szCs w:val="20"/>
        </w:rPr>
      </w:pP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Bench, S. W., &amp;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Lench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H. C. (2013). On the function of boredom.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Behavioral sciences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3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459-472.</w:t>
      </w:r>
    </w:p>
    <w:p w:rsidR="00723B49" w:rsidRPr="0001513B" w:rsidRDefault="00723B49" w:rsidP="00723B49">
      <w:pPr>
        <w:ind w:left="1080" w:hanging="720"/>
        <w:rPr>
          <w:rFonts w:ascii="Times New Roman" w:hAnsi="Times New Roman" w:cs="Times New Roman"/>
          <w:bCs/>
          <w:sz w:val="20"/>
          <w:szCs w:val="20"/>
        </w:rPr>
      </w:pP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Chin, A., Markey, A., Bhargava, S., Kassam, K. S., &amp;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Loewenstein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G. (2017). Bored in the USA: Experience sampling and boredom in everyday life.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Emotion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17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(2), 359.</w:t>
      </w:r>
    </w:p>
    <w:p w:rsidR="00723B49" w:rsidRPr="0001513B" w:rsidRDefault="00723B49" w:rsidP="00723B49">
      <w:pPr>
        <w:ind w:left="1080" w:hanging="720"/>
        <w:rPr>
          <w:rFonts w:ascii="Times New Roman" w:hAnsi="Times New Roman" w:cs="Times New Roman"/>
          <w:bCs/>
          <w:sz w:val="20"/>
          <w:szCs w:val="20"/>
        </w:rPr>
      </w:pP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Markey, A., Chin, A.,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Vanepps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E. M., &amp;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Loewenstein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G. (2014). Identifying a reliable boredom induction.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Perceptual and motor skills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119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(1), 237-253.</w:t>
      </w:r>
    </w:p>
    <w:p w:rsidR="00723B49" w:rsidRPr="0001513B" w:rsidRDefault="00723B49" w:rsidP="00723B49">
      <w:pPr>
        <w:ind w:left="1080" w:hanging="72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Pfattheicher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Lazarević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L. B., Westgate, E. C., &amp; Schindler, S. (2020). On the relation of boredom and sadistic aggression.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 of personality and social psychology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723B49" w:rsidRPr="0001513B" w:rsidRDefault="00723B49" w:rsidP="00723B49">
      <w:pPr>
        <w:ind w:left="1080" w:hanging="720"/>
        <w:rPr>
          <w:rFonts w:ascii="Times New Roman" w:hAnsi="Times New Roman" w:cs="Times New Roman"/>
          <w:bCs/>
          <w:sz w:val="20"/>
          <w:szCs w:val="20"/>
        </w:rPr>
      </w:pP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Westgate, E. C. (2020). Why boredom is interesting.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Current Directions in Psychological Science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29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(1), 33-40.</w:t>
      </w:r>
    </w:p>
    <w:p w:rsidR="00723B49" w:rsidRPr="0001513B" w:rsidRDefault="00723B49" w:rsidP="00723B49">
      <w:pPr>
        <w:ind w:left="108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Westgate, E. C., &amp;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Steidle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B. (2020). Lost by definition: Why boredom matters for psychology and society.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Social and Personality Psychology Compass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14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(11), e12562.</w:t>
      </w: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Students can measure their propensity for boredom using the following scale, the </w:t>
      </w:r>
      <w:r w:rsidRPr="0001513B">
        <w:rPr>
          <w:rFonts w:ascii="Times New Roman" w:eastAsia="Times New Roman" w:hAnsi="Times New Roman" w:cs="Times New Roman"/>
          <w:b/>
          <w:bCs/>
          <w:sz w:val="20"/>
          <w:szCs w:val="20"/>
        </w:rPr>
        <w:t>Boredom Proneness Scale (BPS)</w:t>
      </w:r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8" w:history="1">
        <w:r w:rsidRPr="0001513B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https://www.questionpro.com/survey-templates/boredom-proneness-scale-survey-template/</w:t>
        </w:r>
      </w:hyperlink>
    </w:p>
    <w:p w:rsidR="00723B49" w:rsidRPr="0001513B" w:rsidRDefault="00723B49" w:rsidP="00723B49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01513B">
        <w:rPr>
          <w:bCs/>
          <w:sz w:val="20"/>
          <w:szCs w:val="20"/>
        </w:rPr>
        <w:t>If comfortable, students can share their results with the class.</w:t>
      </w: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For the present purposes, turn the conversation about boredom to its relation with consumption. </w:t>
      </w:r>
      <w:r w:rsidRPr="000151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Eating in the Absence of Hunger (EAH) is more likely in the presence of boredom. </w:t>
      </w:r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This boredom-eating cycle, in turn, can </w:t>
      </w:r>
      <w:proofErr w:type="gramStart"/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>impact</w:t>
      </w:r>
      <w:proofErr w:type="gramEnd"/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 health. Among children of average age of 7.8 years, those who were overweight were more likely to engage in EAH when stressed than children who are not overweight. </w:t>
      </w:r>
      <w:proofErr w:type="gramStart"/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>Children who are underweight</w:t>
      </w:r>
      <w:proofErr w:type="gramEnd"/>
      <w:r w:rsidRPr="0001513B">
        <w:rPr>
          <w:rFonts w:ascii="Times New Roman" w:eastAsia="Times New Roman" w:hAnsi="Times New Roman" w:cs="Times New Roman"/>
          <w:bCs/>
          <w:sz w:val="20"/>
          <w:szCs w:val="20"/>
        </w:rPr>
        <w:t xml:space="preserve"> were less likely to engage in EAH when stressed (Miller et al., 2019).</w:t>
      </w:r>
    </w:p>
    <w:p w:rsidR="00723B49" w:rsidRPr="0001513B" w:rsidRDefault="00723B49" w:rsidP="00723B49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01513B">
        <w:rPr>
          <w:bCs/>
          <w:sz w:val="20"/>
          <w:szCs w:val="20"/>
        </w:rPr>
        <w:t xml:space="preserve">The following article summarizes EAH and tests a questionnaire designed to measure its occurrence: </w:t>
      </w:r>
      <w:hyperlink r:id="rId9" w:history="1">
        <w:r w:rsidRPr="0001513B">
          <w:rPr>
            <w:rStyle w:val="Hyperlink"/>
            <w:bCs/>
            <w:sz w:val="20"/>
            <w:szCs w:val="20"/>
          </w:rPr>
          <w:t>https://www.ncbi.nlm.nih.gov/pmc/articles/PMC2424281/</w:t>
        </w:r>
      </w:hyperlink>
    </w:p>
    <w:p w:rsidR="00723B49" w:rsidRPr="0001513B" w:rsidRDefault="00723B49" w:rsidP="00723B49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01513B">
        <w:rPr>
          <w:bCs/>
          <w:sz w:val="20"/>
          <w:szCs w:val="20"/>
        </w:rPr>
        <w:t>Based on the boredom research described above, ask students why people might be likely to eat when bored. What strategies might prevent people from eating when bored?</w:t>
      </w:r>
    </w:p>
    <w:p w:rsidR="00723B49" w:rsidRPr="0001513B" w:rsidRDefault="00723B49" w:rsidP="00723B49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01513B">
        <w:rPr>
          <w:bCs/>
          <w:sz w:val="20"/>
          <w:szCs w:val="20"/>
        </w:rPr>
        <w:t xml:space="preserve">Ask students to connect their BPS scores with their tendency to EAH. </w:t>
      </w:r>
      <w:proofErr w:type="gramStart"/>
      <w:r w:rsidRPr="0001513B">
        <w:rPr>
          <w:bCs/>
          <w:sz w:val="20"/>
          <w:szCs w:val="20"/>
        </w:rPr>
        <w:t>Are they related</w:t>
      </w:r>
      <w:proofErr w:type="gramEnd"/>
      <w:r w:rsidRPr="0001513B">
        <w:rPr>
          <w:bCs/>
          <w:sz w:val="20"/>
          <w:szCs w:val="20"/>
        </w:rPr>
        <w:t xml:space="preserve"> in predictable ways?</w:t>
      </w:r>
    </w:p>
    <w:p w:rsidR="00723B49" w:rsidRPr="0001513B" w:rsidRDefault="00723B49" w:rsidP="00723B49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01513B">
        <w:rPr>
          <w:bCs/>
          <w:sz w:val="20"/>
          <w:szCs w:val="20"/>
        </w:rPr>
        <w:t xml:space="preserve">Connect this line of research with COVID-19 shutdowns and increases in reported boredom. Ask students to consider reported overeating and weight gain among Americans: </w:t>
      </w:r>
      <w:hyperlink r:id="rId10" w:history="1">
        <w:r w:rsidRPr="0001513B">
          <w:rPr>
            <w:rStyle w:val="Hyperlink"/>
            <w:bCs/>
            <w:sz w:val="20"/>
            <w:szCs w:val="20"/>
          </w:rPr>
          <w:t>https://www.cbsnews.com/news/covid-weight-gain-30-pounds-pandemic/</w:t>
        </w:r>
      </w:hyperlink>
      <w:r w:rsidRPr="0001513B">
        <w:rPr>
          <w:bCs/>
          <w:sz w:val="20"/>
          <w:szCs w:val="20"/>
        </w:rPr>
        <w:t xml:space="preserve"> </w:t>
      </w:r>
    </w:p>
    <w:p w:rsidR="00723B49" w:rsidRPr="0001513B" w:rsidRDefault="00723B49" w:rsidP="00723B49">
      <w:pPr>
        <w:pStyle w:val="ListParagraph"/>
        <w:numPr>
          <w:ilvl w:val="1"/>
          <w:numId w:val="2"/>
        </w:numPr>
        <w:rPr>
          <w:bCs/>
          <w:sz w:val="20"/>
          <w:szCs w:val="20"/>
        </w:rPr>
      </w:pPr>
      <w:r w:rsidRPr="0001513B">
        <w:rPr>
          <w:bCs/>
          <w:sz w:val="20"/>
          <w:szCs w:val="20"/>
        </w:rPr>
        <w:t>What factor (</w:t>
      </w:r>
      <w:proofErr w:type="gramStart"/>
      <w:r w:rsidRPr="0001513B">
        <w:rPr>
          <w:bCs/>
          <w:sz w:val="20"/>
          <w:szCs w:val="20"/>
        </w:rPr>
        <w:t>think:</w:t>
      </w:r>
      <w:proofErr w:type="gramEnd"/>
      <w:r w:rsidRPr="0001513B">
        <w:rPr>
          <w:bCs/>
          <w:sz w:val="20"/>
          <w:szCs w:val="20"/>
        </w:rPr>
        <w:t xml:space="preserve"> BPS score) might have predicted whether people gain weight during closures?</w:t>
      </w:r>
    </w:p>
    <w:p w:rsidR="00723B49" w:rsidRPr="0001513B" w:rsidRDefault="00723B49" w:rsidP="00723B49">
      <w:pPr>
        <w:rPr>
          <w:rFonts w:ascii="Times New Roman" w:hAnsi="Times New Roman" w:cs="Times New Roman"/>
          <w:bCs/>
          <w:sz w:val="20"/>
          <w:szCs w:val="20"/>
        </w:rPr>
      </w:pPr>
    </w:p>
    <w:p w:rsidR="00723B49" w:rsidRPr="0001513B" w:rsidRDefault="00723B49" w:rsidP="00723B49">
      <w:pPr>
        <w:rPr>
          <w:rFonts w:ascii="Times New Roman" w:hAnsi="Times New Roman" w:cs="Times New Roman"/>
          <w:bCs/>
          <w:sz w:val="20"/>
          <w:szCs w:val="20"/>
        </w:rPr>
      </w:pPr>
    </w:p>
    <w:p w:rsidR="00723B49" w:rsidRPr="001559DB" w:rsidRDefault="00723B49" w:rsidP="00723B49">
      <w:pPr>
        <w:rPr>
          <w:rFonts w:ascii="Times New Roman" w:hAnsi="Times New Roman" w:cs="Times New Roman"/>
          <w:b/>
          <w:sz w:val="20"/>
          <w:szCs w:val="20"/>
        </w:rPr>
      </w:pPr>
      <w:r w:rsidRPr="001559DB">
        <w:rPr>
          <w:rFonts w:ascii="Times New Roman" w:hAnsi="Times New Roman" w:cs="Times New Roman"/>
          <w:b/>
          <w:sz w:val="20"/>
          <w:szCs w:val="20"/>
        </w:rPr>
        <w:t>Resources about boredom, EAH, and health:</w:t>
      </w:r>
    </w:p>
    <w:p w:rsidR="00723B49" w:rsidRPr="0001513B" w:rsidRDefault="00723B49" w:rsidP="00723B49">
      <w:pPr>
        <w:ind w:left="720" w:hanging="36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Tanofsky-Kraff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Ranzenhofer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L. M.,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Yanovski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S. Z.,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Schvey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N. A., Faith, M., Gustafson, J., &amp;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Yanovski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J. A. (2008). Psychometric properties of a new questionnaire to assess eating in the absence of hunger in children and adolescents.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Appetite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51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(1), 148-155.</w:t>
      </w:r>
    </w:p>
    <w:p w:rsidR="00723B49" w:rsidRPr="0001513B" w:rsidRDefault="00723B49" w:rsidP="00723B49">
      <w:pPr>
        <w:ind w:left="720" w:hanging="36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Shomaker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L. B.,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Tanofsky‐Kraff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Mooreville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M., Reina, S. A.,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Courville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A. B., Field, S. E</w:t>
      </w:r>
      <w:proofErr w:type="gram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 ...</w:t>
      </w:r>
      <w:proofErr w:type="gram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Yanovski</w:t>
      </w:r>
      <w:proofErr w:type="spellEnd"/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J. A. (2013). Links of adolescent‐and parent‐reported eating in the absence of hunger with observed eating in the absence of hunger.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Obesity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1513B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21</w:t>
      </w:r>
      <w:r w:rsidRPr="0001513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(6), 1243-1250.</w:t>
      </w: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3B49" w:rsidRPr="0001513B" w:rsidRDefault="00723B49" w:rsidP="00723B49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178B3" w:rsidRPr="00723B49" w:rsidRDefault="00B178B3">
      <w:pPr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B178B3" w:rsidRPr="00723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312"/>
    <w:multiLevelType w:val="hybridMultilevel"/>
    <w:tmpl w:val="387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3D75"/>
    <w:multiLevelType w:val="hybridMultilevel"/>
    <w:tmpl w:val="412A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A4F83"/>
    <w:multiLevelType w:val="hybridMultilevel"/>
    <w:tmpl w:val="5660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72"/>
    <w:rsid w:val="003B6C72"/>
    <w:rsid w:val="00723B49"/>
    <w:rsid w:val="00B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5D2E"/>
  <w15:chartTrackingRefBased/>
  <w15:docId w15:val="{CBB8BA92-8351-406E-AFF9-DD38FBC3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4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B4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23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stionpro.com/survey-templates/boredom-proneness-scale-survey-templ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casts.apple.com/us/podcast/why-is-it-so-hard-to-be-alone-with-our-thoughts/id1510056899?i=10004845503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akonomics.com/podcast/boring-rebroadcas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99percentinvisible.org/episode/the-natural-experiment/2/" TargetMode="External"/><Relationship Id="rId10" Type="http://schemas.openxmlformats.org/officeDocument/2006/relationships/hyperlink" Target="https://www.cbsnews.com/news/covid-weight-gain-30-pounds-pandem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24242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>Bloomsbury Publishing Plc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2021-12-07T11:45:00Z</dcterms:created>
  <dcterms:modified xsi:type="dcterms:W3CDTF">2021-12-07T11:46:00Z</dcterms:modified>
</cp:coreProperties>
</file>