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37" w:rsidRPr="00B65EE1" w:rsidRDefault="00160B37" w:rsidP="00160B37">
      <w:pPr>
        <w:rPr>
          <w:rFonts w:ascii="Times New Roman" w:eastAsia="Times New Roman" w:hAnsi="Times New Roman" w:cs="Times New Roman"/>
          <w:b/>
          <w:bCs/>
          <w:sz w:val="20"/>
          <w:szCs w:val="20"/>
        </w:rPr>
      </w:pPr>
      <w:r w:rsidRPr="00B65EE1">
        <w:rPr>
          <w:rFonts w:ascii="Times New Roman" w:eastAsia="Times New Roman" w:hAnsi="Times New Roman" w:cs="Times New Roman"/>
          <w:b/>
          <w:bCs/>
          <w:sz w:val="20"/>
          <w:szCs w:val="20"/>
        </w:rPr>
        <w:t xml:space="preserve">Teen Eating and </w:t>
      </w:r>
      <w:r>
        <w:rPr>
          <w:rFonts w:ascii="Times New Roman" w:eastAsia="Times New Roman" w:hAnsi="Times New Roman" w:cs="Times New Roman"/>
          <w:b/>
          <w:bCs/>
          <w:sz w:val="20"/>
          <w:szCs w:val="20"/>
        </w:rPr>
        <w:t>Expenditures: Challenges in Assessment</w:t>
      </w:r>
    </w:p>
    <w:p w:rsidR="00160B37" w:rsidRDefault="00160B37" w:rsidP="00160B37">
      <w:pPr>
        <w:rPr>
          <w:rFonts w:ascii="Times New Roman" w:eastAsia="Times New Roman" w:hAnsi="Times New Roman" w:cs="Times New Roman"/>
          <w:bCs/>
          <w:sz w:val="20"/>
          <w:szCs w:val="20"/>
        </w:rPr>
      </w:pPr>
    </w:p>
    <w:p w:rsidR="00160B37" w:rsidRPr="003D286A" w:rsidRDefault="00160B37" w:rsidP="00160B37">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purpose of this exercise is to </w:t>
      </w:r>
      <w:r w:rsidRPr="004D6567">
        <w:rPr>
          <w:rFonts w:ascii="Times New Roman" w:eastAsia="Times New Roman" w:hAnsi="Times New Roman" w:cs="Times New Roman"/>
          <w:bCs/>
          <w:sz w:val="20"/>
          <w:szCs w:val="20"/>
        </w:rPr>
        <w:t>discuss traditional classification of “teenagers”</w:t>
      </w:r>
      <w:r>
        <w:rPr>
          <w:rFonts w:ascii="Times New Roman" w:eastAsia="Times New Roman" w:hAnsi="Times New Roman" w:cs="Times New Roman"/>
          <w:bCs/>
          <w:sz w:val="20"/>
          <w:szCs w:val="20"/>
        </w:rPr>
        <w:t>, assessment of teenagers’ behavior</w:t>
      </w:r>
      <w:r w:rsidRPr="004D6567">
        <w:rPr>
          <w:rFonts w:ascii="Times New Roman" w:eastAsia="Times New Roman" w:hAnsi="Times New Roman" w:cs="Times New Roman"/>
          <w:bCs/>
          <w:sz w:val="20"/>
          <w:szCs w:val="20"/>
        </w:rPr>
        <w:t xml:space="preserve">, and some </w:t>
      </w:r>
      <w:r w:rsidRPr="003D286A">
        <w:rPr>
          <w:rFonts w:ascii="Times New Roman" w:eastAsia="Times New Roman" w:hAnsi="Times New Roman" w:cs="Times New Roman"/>
          <w:bCs/>
          <w:sz w:val="20"/>
          <w:szCs w:val="20"/>
        </w:rPr>
        <w:t>emerging evidence of eating and drinking trends and expenditures among teens.</w:t>
      </w:r>
    </w:p>
    <w:p w:rsidR="00160B37" w:rsidRPr="003D286A" w:rsidRDefault="00160B37" w:rsidP="00160B37">
      <w:pPr>
        <w:rPr>
          <w:rFonts w:ascii="Times New Roman" w:hAnsi="Times New Roman" w:cs="Times New Roman"/>
          <w:color w:val="222222"/>
          <w:sz w:val="20"/>
          <w:szCs w:val="20"/>
          <w:shd w:val="clear" w:color="auto" w:fill="FFFFFF"/>
        </w:rPr>
      </w:pPr>
    </w:p>
    <w:p w:rsidR="00160B37" w:rsidRPr="003D286A" w:rsidRDefault="00160B37" w:rsidP="00160B37">
      <w:pPr>
        <w:rPr>
          <w:rFonts w:ascii="Times New Roman" w:hAnsi="Times New Roman" w:cs="Times New Roman"/>
          <w:bCs/>
          <w:sz w:val="20"/>
          <w:szCs w:val="20"/>
        </w:rPr>
      </w:pPr>
    </w:p>
    <w:p w:rsidR="00160B37" w:rsidRPr="001559DB" w:rsidRDefault="00160B37" w:rsidP="00160B37">
      <w:pPr>
        <w:pStyle w:val="ListParagraph"/>
        <w:numPr>
          <w:ilvl w:val="0"/>
          <w:numId w:val="2"/>
        </w:numPr>
        <w:rPr>
          <w:bCs/>
          <w:sz w:val="20"/>
          <w:szCs w:val="20"/>
        </w:rPr>
      </w:pPr>
      <w:r w:rsidRPr="008D2659">
        <w:rPr>
          <w:bCs/>
          <w:sz w:val="20"/>
          <w:szCs w:val="20"/>
        </w:rPr>
        <w:t>Related to the research topics of chapter 2, the following article</w:t>
      </w:r>
      <w:r>
        <w:rPr>
          <w:bCs/>
          <w:sz w:val="20"/>
          <w:szCs w:val="20"/>
        </w:rPr>
        <w:t>s</w:t>
      </w:r>
      <w:r w:rsidRPr="008D2659">
        <w:rPr>
          <w:bCs/>
          <w:sz w:val="20"/>
          <w:szCs w:val="20"/>
        </w:rPr>
        <w:t xml:space="preserve"> addresses </w:t>
      </w:r>
      <w:r>
        <w:rPr>
          <w:bCs/>
          <w:sz w:val="20"/>
          <w:szCs w:val="20"/>
        </w:rPr>
        <w:t xml:space="preserve">the gap of teenage research that exists and a </w:t>
      </w:r>
      <w:r w:rsidRPr="008D2659">
        <w:rPr>
          <w:bCs/>
          <w:sz w:val="20"/>
          <w:szCs w:val="20"/>
        </w:rPr>
        <w:t xml:space="preserve">unique capturing of teenage exposure to food cues </w:t>
      </w:r>
      <w:proofErr w:type="gramStart"/>
      <w:r w:rsidRPr="008D2659">
        <w:rPr>
          <w:bCs/>
          <w:sz w:val="20"/>
          <w:szCs w:val="20"/>
        </w:rPr>
        <w:t>through the use of</w:t>
      </w:r>
      <w:proofErr w:type="gramEnd"/>
      <w:r w:rsidRPr="008D2659">
        <w:rPr>
          <w:bCs/>
          <w:sz w:val="20"/>
          <w:szCs w:val="20"/>
        </w:rPr>
        <w:t xml:space="preserve"> body cameras. </w:t>
      </w:r>
    </w:p>
    <w:p w:rsidR="00160B37" w:rsidRPr="003D286A" w:rsidRDefault="00160B37" w:rsidP="00160B37">
      <w:pPr>
        <w:pStyle w:val="ListParagraph"/>
        <w:numPr>
          <w:ilvl w:val="0"/>
          <w:numId w:val="1"/>
        </w:numPr>
        <w:rPr>
          <w:bCs/>
          <w:sz w:val="20"/>
          <w:szCs w:val="20"/>
        </w:rPr>
      </w:pPr>
      <w:proofErr w:type="spellStart"/>
      <w:r w:rsidRPr="003D286A">
        <w:rPr>
          <w:color w:val="222222"/>
          <w:sz w:val="20"/>
          <w:szCs w:val="20"/>
          <w:shd w:val="clear" w:color="auto" w:fill="FFFFFF"/>
        </w:rPr>
        <w:t>Cowburn</w:t>
      </w:r>
      <w:proofErr w:type="spellEnd"/>
      <w:r w:rsidRPr="003D286A">
        <w:rPr>
          <w:color w:val="222222"/>
          <w:sz w:val="20"/>
          <w:szCs w:val="20"/>
          <w:shd w:val="clear" w:color="auto" w:fill="FFFFFF"/>
        </w:rPr>
        <w:t>, G., Matthews, A., Doherty, A., Hamilton, A., Kelly, P., Williams, J</w:t>
      </w:r>
      <w:proofErr w:type="gramStart"/>
      <w:r w:rsidRPr="003D286A">
        <w:rPr>
          <w:color w:val="222222"/>
          <w:sz w:val="20"/>
          <w:szCs w:val="20"/>
          <w:shd w:val="clear" w:color="auto" w:fill="FFFFFF"/>
        </w:rPr>
        <w:t>., ...</w:t>
      </w:r>
      <w:proofErr w:type="gramEnd"/>
      <w:r w:rsidRPr="003D286A">
        <w:rPr>
          <w:color w:val="222222"/>
          <w:sz w:val="20"/>
          <w:szCs w:val="20"/>
          <w:shd w:val="clear" w:color="auto" w:fill="FFFFFF"/>
        </w:rPr>
        <w:t xml:space="preserve"> &amp; Nelson, M. (2016). Exploring the opportunities for food and drink purchasing and consumption by teenagers during their journeys between home and school: a feasibility study using a novel method. </w:t>
      </w:r>
      <w:r w:rsidRPr="003D286A">
        <w:rPr>
          <w:i/>
          <w:iCs/>
          <w:color w:val="222222"/>
          <w:sz w:val="20"/>
          <w:szCs w:val="20"/>
          <w:shd w:val="clear" w:color="auto" w:fill="FFFFFF"/>
        </w:rPr>
        <w:t>Public health nutrition</w:t>
      </w:r>
      <w:r w:rsidRPr="003D286A">
        <w:rPr>
          <w:color w:val="222222"/>
          <w:sz w:val="20"/>
          <w:szCs w:val="20"/>
          <w:shd w:val="clear" w:color="auto" w:fill="FFFFFF"/>
        </w:rPr>
        <w:t>, </w:t>
      </w:r>
      <w:r w:rsidRPr="003D286A">
        <w:rPr>
          <w:i/>
          <w:iCs/>
          <w:color w:val="222222"/>
          <w:sz w:val="20"/>
          <w:szCs w:val="20"/>
          <w:shd w:val="clear" w:color="auto" w:fill="FFFFFF"/>
        </w:rPr>
        <w:t>19</w:t>
      </w:r>
      <w:r w:rsidRPr="003D286A">
        <w:rPr>
          <w:color w:val="222222"/>
          <w:sz w:val="20"/>
          <w:szCs w:val="20"/>
          <w:shd w:val="clear" w:color="auto" w:fill="FFFFFF"/>
        </w:rPr>
        <w:t>(1), 93-103.</w:t>
      </w:r>
    </w:p>
    <w:p w:rsidR="00160B37" w:rsidRDefault="00160B37" w:rsidP="00160B37">
      <w:pPr>
        <w:rPr>
          <w:rFonts w:ascii="Times New Roman" w:eastAsia="Times New Roman" w:hAnsi="Times New Roman" w:cs="Times New Roman"/>
          <w:bCs/>
          <w:sz w:val="20"/>
          <w:szCs w:val="20"/>
        </w:rPr>
      </w:pPr>
    </w:p>
    <w:p w:rsidR="00160B37" w:rsidRPr="003D286A" w:rsidRDefault="00160B37" w:rsidP="00160B37">
      <w:pPr>
        <w:rPr>
          <w:rFonts w:ascii="Times New Roman" w:eastAsia="Times New Roman" w:hAnsi="Times New Roman" w:cs="Times New Roman"/>
          <w:bCs/>
          <w:sz w:val="20"/>
          <w:szCs w:val="20"/>
        </w:rPr>
      </w:pPr>
    </w:p>
    <w:p w:rsidR="00160B37" w:rsidRPr="008D2659" w:rsidRDefault="00160B37" w:rsidP="00160B37">
      <w:pPr>
        <w:pStyle w:val="ListParagraph"/>
        <w:numPr>
          <w:ilvl w:val="0"/>
          <w:numId w:val="2"/>
        </w:numPr>
        <w:rPr>
          <w:bCs/>
          <w:sz w:val="20"/>
          <w:szCs w:val="20"/>
        </w:rPr>
      </w:pPr>
      <w:r w:rsidRPr="008D2659">
        <w:rPr>
          <w:bCs/>
          <w:sz w:val="20"/>
          <w:szCs w:val="20"/>
        </w:rPr>
        <w:t>Explore teen expenditures on food. Eating is an experience as valued as other goods and experiences. Teen expenditures on food are now greater than their expenditures on clothing. As of 2018, according to the Piper Sandler survey of teenagers (</w:t>
      </w:r>
      <w:hyperlink r:id="rId5" w:history="1">
        <w:r w:rsidRPr="008D2659">
          <w:rPr>
            <w:rStyle w:val="Hyperlink"/>
            <w:bCs/>
            <w:sz w:val="20"/>
            <w:szCs w:val="20"/>
          </w:rPr>
          <w:t>https://www.pipersandler.com/1col.aspx?id=6216</w:t>
        </w:r>
      </w:hyperlink>
      <w:r w:rsidRPr="008D2659">
        <w:rPr>
          <w:bCs/>
          <w:sz w:val="20"/>
          <w:szCs w:val="20"/>
        </w:rPr>
        <w:t xml:space="preserve">), United States teens from upper income and average income brackets spend a greater percent of income/money on food. </w:t>
      </w:r>
    </w:p>
    <w:p w:rsidR="00160B37" w:rsidRPr="003D286A" w:rsidRDefault="00160B37" w:rsidP="00160B37">
      <w:pPr>
        <w:pStyle w:val="ListParagraph"/>
        <w:numPr>
          <w:ilvl w:val="0"/>
          <w:numId w:val="1"/>
        </w:numPr>
        <w:rPr>
          <w:bCs/>
          <w:sz w:val="20"/>
          <w:szCs w:val="20"/>
        </w:rPr>
      </w:pPr>
      <w:r w:rsidRPr="003D286A">
        <w:rPr>
          <w:bCs/>
          <w:sz w:val="20"/>
          <w:szCs w:val="20"/>
        </w:rPr>
        <w:t xml:space="preserve">Fast food purchases: </w:t>
      </w:r>
      <w:r w:rsidRPr="003D286A">
        <w:rPr>
          <w:color w:val="222222"/>
          <w:sz w:val="20"/>
          <w:szCs w:val="20"/>
          <w:shd w:val="clear" w:color="auto" w:fill="FFFFFF"/>
        </w:rPr>
        <w:t xml:space="preserve">Wills, W., </w:t>
      </w:r>
      <w:proofErr w:type="spellStart"/>
      <w:r w:rsidRPr="003D286A">
        <w:rPr>
          <w:color w:val="222222"/>
          <w:sz w:val="20"/>
          <w:szCs w:val="20"/>
          <w:shd w:val="clear" w:color="auto" w:fill="FFFFFF"/>
        </w:rPr>
        <w:t>Backett</w:t>
      </w:r>
      <w:proofErr w:type="spellEnd"/>
      <w:r w:rsidRPr="003D286A">
        <w:rPr>
          <w:color w:val="222222"/>
          <w:sz w:val="20"/>
          <w:szCs w:val="20"/>
          <w:shd w:val="clear" w:color="auto" w:fill="FFFFFF"/>
        </w:rPr>
        <w:t>-Milburn, K., Lawton, J., &amp; Roberts, M. L. (2009). Consuming fast food: the perceptions and practices of middle-class young teenagers. In </w:t>
      </w:r>
      <w:r w:rsidRPr="003D286A">
        <w:rPr>
          <w:i/>
          <w:iCs/>
          <w:color w:val="222222"/>
          <w:sz w:val="20"/>
          <w:szCs w:val="20"/>
          <w:shd w:val="clear" w:color="auto" w:fill="FFFFFF"/>
        </w:rPr>
        <w:t>Children, food and identity in everyday life</w:t>
      </w:r>
      <w:r w:rsidRPr="003D286A">
        <w:rPr>
          <w:color w:val="222222"/>
          <w:sz w:val="20"/>
          <w:szCs w:val="20"/>
          <w:shd w:val="clear" w:color="auto" w:fill="FFFFFF"/>
        </w:rPr>
        <w:t> (pp. 52-68). Palgrave Macmillan, London.</w:t>
      </w:r>
    </w:p>
    <w:p w:rsidR="00160B37" w:rsidRPr="003D286A" w:rsidRDefault="00160B37" w:rsidP="00160B37">
      <w:pPr>
        <w:pStyle w:val="ListParagraph"/>
        <w:numPr>
          <w:ilvl w:val="0"/>
          <w:numId w:val="1"/>
        </w:numPr>
        <w:rPr>
          <w:bCs/>
          <w:sz w:val="20"/>
          <w:szCs w:val="20"/>
        </w:rPr>
      </w:pPr>
      <w:hyperlink r:id="rId6" w:history="1">
        <w:r w:rsidRPr="003D286A">
          <w:rPr>
            <w:rStyle w:val="Hyperlink"/>
            <w:bCs/>
            <w:sz w:val="20"/>
            <w:szCs w:val="20"/>
          </w:rPr>
          <w:t>https://www.statista.com/statistics/286937/us-teen-spending-share-by-category/</w:t>
        </w:r>
      </w:hyperlink>
    </w:p>
    <w:p w:rsidR="00160B37" w:rsidRPr="003D286A" w:rsidRDefault="00160B37" w:rsidP="00160B37">
      <w:pPr>
        <w:pStyle w:val="ListParagraph"/>
        <w:numPr>
          <w:ilvl w:val="0"/>
          <w:numId w:val="1"/>
        </w:numPr>
        <w:rPr>
          <w:bCs/>
          <w:sz w:val="20"/>
          <w:szCs w:val="20"/>
        </w:rPr>
      </w:pPr>
      <w:r w:rsidRPr="003D286A">
        <w:rPr>
          <w:bCs/>
          <w:sz w:val="20"/>
          <w:szCs w:val="20"/>
        </w:rPr>
        <w:t>COVID-19 may have changed this trend. Ask students to:</w:t>
      </w:r>
    </w:p>
    <w:p w:rsidR="00160B37" w:rsidRPr="003D286A" w:rsidRDefault="00160B37" w:rsidP="00160B37">
      <w:pPr>
        <w:pStyle w:val="ListParagraph"/>
        <w:numPr>
          <w:ilvl w:val="1"/>
          <w:numId w:val="1"/>
        </w:numPr>
        <w:rPr>
          <w:bCs/>
          <w:sz w:val="20"/>
          <w:szCs w:val="20"/>
        </w:rPr>
      </w:pPr>
      <w:r w:rsidRPr="003D286A">
        <w:rPr>
          <w:bCs/>
          <w:sz w:val="20"/>
          <w:szCs w:val="20"/>
        </w:rPr>
        <w:t xml:space="preserve">Consider why COVID-19 may </w:t>
      </w:r>
      <w:proofErr w:type="gramStart"/>
      <w:r w:rsidRPr="003D286A">
        <w:rPr>
          <w:bCs/>
          <w:sz w:val="20"/>
          <w:szCs w:val="20"/>
        </w:rPr>
        <w:t>impact</w:t>
      </w:r>
      <w:proofErr w:type="gramEnd"/>
      <w:r w:rsidRPr="003D286A">
        <w:rPr>
          <w:bCs/>
          <w:sz w:val="20"/>
          <w:szCs w:val="20"/>
        </w:rPr>
        <w:t xml:space="preserve"> how teenagers access foods and drinks.</w:t>
      </w:r>
    </w:p>
    <w:p w:rsidR="00160B37" w:rsidRPr="003D286A" w:rsidRDefault="00160B37" w:rsidP="00160B37">
      <w:pPr>
        <w:pStyle w:val="ListParagraph"/>
        <w:numPr>
          <w:ilvl w:val="1"/>
          <w:numId w:val="1"/>
        </w:numPr>
        <w:rPr>
          <w:bCs/>
          <w:sz w:val="20"/>
          <w:szCs w:val="20"/>
        </w:rPr>
      </w:pPr>
      <w:r w:rsidRPr="003D286A">
        <w:rPr>
          <w:bCs/>
          <w:sz w:val="20"/>
          <w:szCs w:val="20"/>
        </w:rPr>
        <w:t>Predict whether relative food expenditures would be up or down since 2018.</w:t>
      </w:r>
    </w:p>
    <w:p w:rsidR="00160B37" w:rsidRPr="003D286A" w:rsidRDefault="00160B37" w:rsidP="00160B37">
      <w:pPr>
        <w:pStyle w:val="ListParagraph"/>
        <w:numPr>
          <w:ilvl w:val="1"/>
          <w:numId w:val="1"/>
        </w:numPr>
        <w:rPr>
          <w:bCs/>
          <w:sz w:val="20"/>
          <w:szCs w:val="20"/>
        </w:rPr>
      </w:pPr>
      <w:r w:rsidRPr="003D286A">
        <w:rPr>
          <w:bCs/>
          <w:sz w:val="20"/>
          <w:szCs w:val="20"/>
        </w:rPr>
        <w:t>Find evidence of teenage expenditures on food and drink since the above 2018 reports.</w:t>
      </w:r>
    </w:p>
    <w:p w:rsidR="00160B37" w:rsidRPr="003D286A" w:rsidRDefault="00160B37" w:rsidP="00160B37">
      <w:pPr>
        <w:pStyle w:val="ListParagraph"/>
        <w:numPr>
          <w:ilvl w:val="1"/>
          <w:numId w:val="1"/>
        </w:numPr>
        <w:rPr>
          <w:bCs/>
          <w:sz w:val="20"/>
          <w:szCs w:val="20"/>
        </w:rPr>
      </w:pPr>
      <w:r w:rsidRPr="003D286A">
        <w:rPr>
          <w:bCs/>
          <w:sz w:val="20"/>
          <w:szCs w:val="20"/>
        </w:rPr>
        <w:t>Share evidence they find and any predicted permanent changes that could occur from CO</w:t>
      </w:r>
    </w:p>
    <w:p w:rsidR="00160B37" w:rsidRPr="003D286A" w:rsidRDefault="00160B37" w:rsidP="00160B37">
      <w:pPr>
        <w:rPr>
          <w:rFonts w:ascii="Times New Roman" w:hAnsi="Times New Roman" w:cs="Times New Roman"/>
          <w:color w:val="222222"/>
          <w:sz w:val="20"/>
          <w:szCs w:val="20"/>
          <w:shd w:val="clear" w:color="auto" w:fill="FFFFFF"/>
        </w:rPr>
      </w:pPr>
    </w:p>
    <w:p w:rsidR="00160B37" w:rsidRPr="003D286A" w:rsidRDefault="00160B37" w:rsidP="00160B37">
      <w:pPr>
        <w:rPr>
          <w:rFonts w:ascii="Times New Roman" w:hAnsi="Times New Roman" w:cs="Times New Roman"/>
          <w:color w:val="222222"/>
          <w:sz w:val="20"/>
          <w:szCs w:val="20"/>
          <w:shd w:val="clear" w:color="auto" w:fill="FFFFFF"/>
        </w:rPr>
      </w:pPr>
    </w:p>
    <w:p w:rsidR="00160B37" w:rsidRPr="008D2659" w:rsidRDefault="00160B37" w:rsidP="00160B37">
      <w:pPr>
        <w:pStyle w:val="ListParagraph"/>
        <w:numPr>
          <w:ilvl w:val="0"/>
          <w:numId w:val="2"/>
        </w:numPr>
        <w:rPr>
          <w:color w:val="222222"/>
          <w:sz w:val="20"/>
          <w:szCs w:val="20"/>
          <w:shd w:val="clear" w:color="auto" w:fill="FFFFFF"/>
        </w:rPr>
      </w:pPr>
      <w:r w:rsidRPr="008D2659">
        <w:rPr>
          <w:color w:val="222222"/>
          <w:sz w:val="20"/>
          <w:szCs w:val="20"/>
          <w:shd w:val="clear" w:color="auto" w:fill="FFFFFF"/>
        </w:rPr>
        <w:t>In the following review, Truman and Elliott discuss food marketing to teenagers, which is potentially as problematic as ads targeting children (covered in chapter 10).</w:t>
      </w:r>
    </w:p>
    <w:p w:rsidR="00160B37" w:rsidRPr="003D286A" w:rsidRDefault="00160B37" w:rsidP="00160B37">
      <w:pPr>
        <w:pStyle w:val="ListParagraph"/>
        <w:numPr>
          <w:ilvl w:val="0"/>
          <w:numId w:val="1"/>
        </w:numPr>
        <w:rPr>
          <w:bCs/>
          <w:sz w:val="20"/>
          <w:szCs w:val="20"/>
        </w:rPr>
      </w:pPr>
      <w:r w:rsidRPr="003D286A">
        <w:rPr>
          <w:color w:val="222222"/>
          <w:sz w:val="20"/>
          <w:szCs w:val="20"/>
          <w:shd w:val="clear" w:color="auto" w:fill="FFFFFF"/>
        </w:rPr>
        <w:t>Truman, E., &amp; Elliott, C. (2019). Identifying food marketing to teenagers: a scoping review. </w:t>
      </w:r>
      <w:r w:rsidRPr="003D286A">
        <w:rPr>
          <w:i/>
          <w:iCs/>
          <w:color w:val="222222"/>
          <w:sz w:val="20"/>
          <w:szCs w:val="20"/>
          <w:shd w:val="clear" w:color="auto" w:fill="FFFFFF"/>
        </w:rPr>
        <w:t>International Journal of Behavioral Nutrition and Physical Activity</w:t>
      </w:r>
      <w:r w:rsidRPr="003D286A">
        <w:rPr>
          <w:color w:val="222222"/>
          <w:sz w:val="20"/>
          <w:szCs w:val="20"/>
          <w:shd w:val="clear" w:color="auto" w:fill="FFFFFF"/>
        </w:rPr>
        <w:t>, </w:t>
      </w:r>
      <w:r w:rsidRPr="003D286A">
        <w:rPr>
          <w:i/>
          <w:iCs/>
          <w:color w:val="222222"/>
          <w:sz w:val="20"/>
          <w:szCs w:val="20"/>
          <w:shd w:val="clear" w:color="auto" w:fill="FFFFFF"/>
        </w:rPr>
        <w:t>16</w:t>
      </w:r>
      <w:r w:rsidRPr="003D286A">
        <w:rPr>
          <w:color w:val="222222"/>
          <w:sz w:val="20"/>
          <w:szCs w:val="20"/>
          <w:shd w:val="clear" w:color="auto" w:fill="FFFFFF"/>
        </w:rPr>
        <w:t xml:space="preserve">(1), 1-10. </w:t>
      </w:r>
      <w:hyperlink r:id="rId7" w:history="1">
        <w:r w:rsidRPr="003D286A">
          <w:rPr>
            <w:rStyle w:val="Hyperlink"/>
            <w:bCs/>
            <w:sz w:val="20"/>
            <w:szCs w:val="20"/>
          </w:rPr>
          <w:t>https://ijbnpa.biomedcentral.com/articles/10.1186/s12966-019-0833-2</w:t>
        </w:r>
      </w:hyperlink>
    </w:p>
    <w:p w:rsidR="00160B37" w:rsidRPr="003D286A" w:rsidRDefault="00160B37" w:rsidP="00160B37">
      <w:pPr>
        <w:rPr>
          <w:rFonts w:ascii="Times New Roman" w:hAnsi="Times New Roman" w:cs="Times New Roman"/>
          <w:bCs/>
          <w:sz w:val="20"/>
          <w:szCs w:val="20"/>
        </w:rPr>
      </w:pPr>
    </w:p>
    <w:p w:rsidR="00160B37" w:rsidRPr="003D286A" w:rsidRDefault="00160B37" w:rsidP="00160B37">
      <w:pPr>
        <w:rPr>
          <w:rFonts w:ascii="Times New Roman" w:eastAsia="Times New Roman" w:hAnsi="Times New Roman" w:cs="Times New Roman"/>
          <w:bCs/>
          <w:sz w:val="20"/>
          <w:szCs w:val="20"/>
        </w:rPr>
      </w:pPr>
    </w:p>
    <w:p w:rsidR="00160B37" w:rsidRPr="003D286A" w:rsidRDefault="00160B37" w:rsidP="00160B37">
      <w:pPr>
        <w:rPr>
          <w:rFonts w:ascii="Times New Roman" w:eastAsia="Times New Roman" w:hAnsi="Times New Roman" w:cs="Times New Roman"/>
          <w:b/>
          <w:bCs/>
          <w:sz w:val="20"/>
          <w:szCs w:val="20"/>
        </w:rPr>
      </w:pPr>
      <w:r w:rsidRPr="003D286A">
        <w:rPr>
          <w:rFonts w:ascii="Times New Roman" w:eastAsia="Times New Roman" w:hAnsi="Times New Roman" w:cs="Times New Roman"/>
          <w:b/>
          <w:bCs/>
          <w:sz w:val="20"/>
          <w:szCs w:val="20"/>
        </w:rPr>
        <w:t>Related references:</w:t>
      </w:r>
    </w:p>
    <w:p w:rsidR="00160B37" w:rsidRPr="003D286A" w:rsidRDefault="00160B37" w:rsidP="00160B37">
      <w:pPr>
        <w:rPr>
          <w:rFonts w:ascii="Times New Roman" w:eastAsia="Times New Roman" w:hAnsi="Times New Roman" w:cs="Times New Roman"/>
          <w:bCs/>
          <w:sz w:val="20"/>
          <w:szCs w:val="20"/>
        </w:rPr>
      </w:pPr>
    </w:p>
    <w:p w:rsidR="00160B37" w:rsidRPr="004B42E5" w:rsidRDefault="00160B37" w:rsidP="00160B37">
      <w:pPr>
        <w:ind w:left="720" w:hanging="720"/>
        <w:rPr>
          <w:rFonts w:ascii="Times New Roman" w:eastAsia="Times New Roman" w:hAnsi="Times New Roman" w:cs="Times New Roman"/>
          <w:bCs/>
          <w:sz w:val="20"/>
          <w:szCs w:val="20"/>
        </w:rPr>
      </w:pPr>
      <w:r w:rsidRPr="003D286A">
        <w:rPr>
          <w:rFonts w:ascii="Times New Roman" w:hAnsi="Times New Roman" w:cs="Times New Roman"/>
          <w:color w:val="222222"/>
          <w:sz w:val="20"/>
          <w:szCs w:val="20"/>
          <w:shd w:val="clear" w:color="auto" w:fill="FFFFFF"/>
        </w:rPr>
        <w:t>Story, M., &amp; French, S. (2004</w:t>
      </w:r>
      <w:r w:rsidRPr="004B42E5">
        <w:rPr>
          <w:rFonts w:ascii="Times New Roman" w:hAnsi="Times New Roman" w:cs="Times New Roman"/>
          <w:color w:val="222222"/>
          <w:sz w:val="20"/>
          <w:szCs w:val="20"/>
          <w:shd w:val="clear" w:color="auto" w:fill="FFFFFF"/>
        </w:rPr>
        <w:t>). Food advertising and marketing directed at children and adolescents in the US. </w:t>
      </w:r>
      <w:r w:rsidRPr="004B42E5">
        <w:rPr>
          <w:rFonts w:ascii="Times New Roman" w:hAnsi="Times New Roman" w:cs="Times New Roman"/>
          <w:i/>
          <w:iCs/>
          <w:color w:val="222222"/>
          <w:sz w:val="20"/>
          <w:szCs w:val="20"/>
          <w:shd w:val="clear" w:color="auto" w:fill="FFFFFF"/>
        </w:rPr>
        <w:t>International Journal of Behavioral Nutrition and Physical Activity</w:t>
      </w:r>
      <w:r w:rsidRPr="004B42E5">
        <w:rPr>
          <w:rFonts w:ascii="Times New Roman" w:hAnsi="Times New Roman" w:cs="Times New Roman"/>
          <w:color w:val="222222"/>
          <w:sz w:val="20"/>
          <w:szCs w:val="20"/>
          <w:shd w:val="clear" w:color="auto" w:fill="FFFFFF"/>
        </w:rPr>
        <w:t>, </w:t>
      </w:r>
      <w:r w:rsidRPr="004B42E5">
        <w:rPr>
          <w:rFonts w:ascii="Times New Roman" w:hAnsi="Times New Roman" w:cs="Times New Roman"/>
          <w:i/>
          <w:iCs/>
          <w:color w:val="222222"/>
          <w:sz w:val="20"/>
          <w:szCs w:val="20"/>
          <w:shd w:val="clear" w:color="auto" w:fill="FFFFFF"/>
        </w:rPr>
        <w:t>1</w:t>
      </w:r>
      <w:r w:rsidRPr="004B42E5">
        <w:rPr>
          <w:rFonts w:ascii="Times New Roman" w:hAnsi="Times New Roman" w:cs="Times New Roman"/>
          <w:color w:val="222222"/>
          <w:sz w:val="20"/>
          <w:szCs w:val="20"/>
          <w:shd w:val="clear" w:color="auto" w:fill="FFFFFF"/>
        </w:rPr>
        <w:t>(1), 1-17.</w:t>
      </w:r>
    </w:p>
    <w:p w:rsidR="00160B37" w:rsidRDefault="00160B37" w:rsidP="00160B37">
      <w:pPr>
        <w:rPr>
          <w:rFonts w:ascii="Times New Roman" w:eastAsia="Times New Roman" w:hAnsi="Times New Roman" w:cs="Times New Roman"/>
          <w:bCs/>
          <w:sz w:val="20"/>
          <w:szCs w:val="20"/>
        </w:rPr>
      </w:pPr>
    </w:p>
    <w:p w:rsidR="00B178B3" w:rsidRDefault="00B178B3">
      <w:bookmarkStart w:id="0" w:name="_GoBack"/>
      <w:bookmarkEnd w:id="0"/>
    </w:p>
    <w:sectPr w:rsidR="00B178B3">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A3" w:rsidRPr="007C5C85" w:rsidRDefault="00160B37" w:rsidP="001916A3">
    <w:pPr>
      <w:pStyle w:val="Header"/>
      <w:jc w:val="center"/>
      <w:rPr>
        <w:rFonts w:ascii="Times New Roman" w:hAnsi="Times New Roman" w:cs="Times New Roman"/>
      </w:rPr>
    </w:pPr>
    <w:r w:rsidRPr="007C5C85">
      <w:rPr>
        <w:rFonts w:ascii="Times New Roman" w:hAnsi="Times New Roman" w:cs="Times New Roman"/>
      </w:rPr>
      <w:t xml:space="preserve">Chapter </w:t>
    </w:r>
    <w:r>
      <w:rPr>
        <w:rFonts w:ascii="Times New Roman" w:hAnsi="Times New Roman" w:cs="Times New Roman"/>
      </w:rPr>
      <w:t>9</w:t>
    </w:r>
    <w:r w:rsidRPr="007C5C85">
      <w:rPr>
        <w:rFonts w:ascii="Times New Roman" w:hAnsi="Times New Roman" w:cs="Times New Roman"/>
      </w:rPr>
      <w:t xml:space="preserve"> Ancillaries</w:t>
    </w:r>
  </w:p>
  <w:p w:rsidR="001916A3" w:rsidRDefault="00160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2665"/>
    <w:multiLevelType w:val="hybridMultilevel"/>
    <w:tmpl w:val="96803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1C08B3"/>
    <w:multiLevelType w:val="hybridMultilevel"/>
    <w:tmpl w:val="A1ACE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FE"/>
    <w:rsid w:val="00160B37"/>
    <w:rsid w:val="006501FE"/>
    <w:rsid w:val="00B17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95E8B-D2AA-4606-BBEE-8CD7F305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B3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B37"/>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160B37"/>
    <w:rPr>
      <w:color w:val="0563C1" w:themeColor="hyperlink"/>
      <w:u w:val="single"/>
    </w:rPr>
  </w:style>
  <w:style w:type="paragraph" w:styleId="Header">
    <w:name w:val="header"/>
    <w:basedOn w:val="Normal"/>
    <w:link w:val="HeaderChar"/>
    <w:uiPriority w:val="99"/>
    <w:unhideWhenUsed/>
    <w:rsid w:val="00160B37"/>
    <w:pPr>
      <w:tabs>
        <w:tab w:val="center" w:pos="4680"/>
        <w:tab w:val="right" w:pos="9360"/>
      </w:tabs>
    </w:pPr>
  </w:style>
  <w:style w:type="character" w:customStyle="1" w:styleId="HeaderChar">
    <w:name w:val="Header Char"/>
    <w:basedOn w:val="DefaultParagraphFont"/>
    <w:link w:val="Header"/>
    <w:uiPriority w:val="99"/>
    <w:rsid w:val="00160B3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jbnpa.biomedcentral.com/articles/10.1186/s12966-019-08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286937/us-teen-spending-share-by-category/" TargetMode="External"/><Relationship Id="rId5" Type="http://schemas.openxmlformats.org/officeDocument/2006/relationships/hyperlink" Target="https://www.pipersandler.com/1col.aspx?id=62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Company>Bloomsbury Publishing Plc</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2021-12-07T11:46:00Z</dcterms:created>
  <dcterms:modified xsi:type="dcterms:W3CDTF">2021-12-07T11:46:00Z</dcterms:modified>
</cp:coreProperties>
</file>