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F3" w:rsidRPr="005C2210" w:rsidRDefault="00A43BF3" w:rsidP="00A43BF3">
      <w:pPr>
        <w:rPr>
          <w:b/>
          <w:bCs/>
          <w:sz w:val="20"/>
          <w:szCs w:val="20"/>
        </w:rPr>
      </w:pPr>
      <w:proofErr w:type="spellStart"/>
      <w:r w:rsidRPr="005C2210">
        <w:rPr>
          <w:b/>
          <w:bCs/>
          <w:sz w:val="20"/>
          <w:szCs w:val="20"/>
        </w:rPr>
        <w:t>Drunkorexia</w:t>
      </w:r>
      <w:proofErr w:type="spellEnd"/>
      <w:r w:rsidRPr="005C2210">
        <w:rPr>
          <w:b/>
          <w:bCs/>
          <w:sz w:val="20"/>
          <w:szCs w:val="20"/>
        </w:rPr>
        <w:t xml:space="preserve"> (Course 1: Other eating disorders)</w:t>
      </w:r>
    </w:p>
    <w:p w:rsidR="00A43BF3" w:rsidRPr="005C2210" w:rsidRDefault="00A43BF3" w:rsidP="00A43BF3">
      <w:pPr>
        <w:rPr>
          <w:sz w:val="20"/>
          <w:szCs w:val="20"/>
        </w:rPr>
      </w:pPr>
    </w:p>
    <w:p w:rsidR="00A43BF3" w:rsidRPr="005C2210" w:rsidRDefault="00A43BF3" w:rsidP="00A43BF3">
      <w:pPr>
        <w:rPr>
          <w:b/>
          <w:sz w:val="20"/>
          <w:szCs w:val="20"/>
        </w:rPr>
      </w:pPr>
      <w:r w:rsidRPr="005C2210">
        <w:rPr>
          <w:sz w:val="20"/>
          <w:szCs w:val="20"/>
        </w:rPr>
        <w:t xml:space="preserve">The chapter introduced a concept of </w:t>
      </w:r>
      <w:r w:rsidRPr="005C2210">
        <w:rPr>
          <w:i/>
          <w:sz w:val="20"/>
          <w:szCs w:val="20"/>
        </w:rPr>
        <w:t>orthorexia</w:t>
      </w:r>
      <w:r w:rsidRPr="005C2210">
        <w:rPr>
          <w:sz w:val="20"/>
          <w:szCs w:val="20"/>
        </w:rPr>
        <w:t xml:space="preserve">, which </w:t>
      </w:r>
      <w:proofErr w:type="gramStart"/>
      <w:r w:rsidRPr="005C2210">
        <w:rPr>
          <w:sz w:val="20"/>
          <w:szCs w:val="20"/>
        </w:rPr>
        <w:t>is not yet identified and described by diagnostic manuals for professionals but increasing in professional discussions and recognition</w:t>
      </w:r>
      <w:proofErr w:type="gramEnd"/>
      <w:r w:rsidRPr="005C2210">
        <w:rPr>
          <w:sz w:val="20"/>
          <w:szCs w:val="20"/>
        </w:rPr>
        <w:t xml:space="preserve">. Another term, </w:t>
      </w:r>
      <w:proofErr w:type="spellStart"/>
      <w:r w:rsidRPr="005C2210">
        <w:rPr>
          <w:i/>
          <w:sz w:val="20"/>
          <w:szCs w:val="20"/>
        </w:rPr>
        <w:t>drunkorexia</w:t>
      </w:r>
      <w:proofErr w:type="spellEnd"/>
      <w:r w:rsidRPr="005C2210">
        <w:rPr>
          <w:sz w:val="20"/>
          <w:szCs w:val="20"/>
        </w:rPr>
        <w:t xml:space="preserve">, </w:t>
      </w:r>
      <w:proofErr w:type="gramStart"/>
      <w:r w:rsidRPr="005C2210">
        <w:rPr>
          <w:sz w:val="20"/>
          <w:szCs w:val="20"/>
        </w:rPr>
        <w:t>is used</w:t>
      </w:r>
      <w:proofErr w:type="gramEnd"/>
      <w:r w:rsidRPr="005C2210">
        <w:rPr>
          <w:sz w:val="20"/>
          <w:szCs w:val="20"/>
        </w:rPr>
        <w:t xml:space="preserve"> in some treatment circles, particularly in the context of college student wellness. This exercise can be used in classes to introduce a topic that should be of interest to students and as a </w:t>
      </w:r>
      <w:proofErr w:type="gramStart"/>
      <w:r w:rsidRPr="005C2210">
        <w:rPr>
          <w:sz w:val="20"/>
          <w:szCs w:val="20"/>
        </w:rPr>
        <w:t>topic</w:t>
      </w:r>
      <w:proofErr w:type="gramEnd"/>
      <w:r w:rsidRPr="005C2210">
        <w:rPr>
          <w:sz w:val="20"/>
          <w:szCs w:val="20"/>
        </w:rPr>
        <w:t xml:space="preserve"> that illustrates the rise in new disorder and diagnosis terminology.</w:t>
      </w:r>
    </w:p>
    <w:p w:rsidR="00A43BF3" w:rsidRDefault="00A43BF3" w:rsidP="00A43BF3">
      <w:pPr>
        <w:adjustRightInd w:val="0"/>
        <w:snapToGrid w:val="0"/>
        <w:spacing w:before="120"/>
        <w:ind w:left="720" w:hanging="720"/>
        <w:rPr>
          <w:b/>
          <w:sz w:val="20"/>
          <w:szCs w:val="20"/>
        </w:rPr>
      </w:pPr>
    </w:p>
    <w:p w:rsidR="00A43BF3" w:rsidRPr="005C2210" w:rsidRDefault="00A43BF3" w:rsidP="00A43BF3">
      <w:pPr>
        <w:adjustRightInd w:val="0"/>
        <w:snapToGrid w:val="0"/>
        <w:spacing w:before="120"/>
        <w:ind w:left="720" w:hanging="720"/>
        <w:rPr>
          <w:sz w:val="20"/>
          <w:szCs w:val="20"/>
        </w:rPr>
      </w:pPr>
      <w:r w:rsidRPr="005C2210">
        <w:rPr>
          <w:b/>
          <w:sz w:val="20"/>
          <w:szCs w:val="20"/>
        </w:rPr>
        <w:t>I</w:t>
      </w:r>
      <w:r w:rsidRPr="005C2210">
        <w:rPr>
          <w:rFonts w:eastAsiaTheme="minorHAnsi"/>
          <w:b/>
          <w:sz w:val="20"/>
          <w:szCs w:val="20"/>
        </w:rPr>
        <w:t>nformation for instructors</w:t>
      </w:r>
      <w:r w:rsidRPr="005C2210">
        <w:rPr>
          <w:b/>
          <w:sz w:val="20"/>
          <w:szCs w:val="20"/>
        </w:rPr>
        <w:t xml:space="preserve"> and/or students</w:t>
      </w:r>
      <w:r w:rsidRPr="005C2210">
        <w:rPr>
          <w:rFonts w:eastAsiaTheme="minorHAnsi"/>
          <w:b/>
          <w:sz w:val="20"/>
          <w:szCs w:val="20"/>
        </w:rPr>
        <w:t>:</w:t>
      </w:r>
    </w:p>
    <w:p w:rsidR="00A43BF3" w:rsidRPr="004B0972" w:rsidRDefault="00A43BF3" w:rsidP="00A43BF3">
      <w:pPr>
        <w:pStyle w:val="ListParagraph"/>
        <w:ind w:left="432"/>
        <w:rPr>
          <w:color w:val="222222"/>
          <w:sz w:val="20"/>
          <w:szCs w:val="20"/>
          <w:shd w:val="clear" w:color="auto" w:fill="FFFFFF"/>
        </w:rPr>
      </w:pPr>
      <w:proofErr w:type="spellStart"/>
      <w:r w:rsidRPr="005C2210">
        <w:rPr>
          <w:rFonts w:ascii="Times New Roman" w:hAnsi="Times New Roman" w:cs="Times New Roman"/>
          <w:b/>
          <w:sz w:val="20"/>
          <w:szCs w:val="20"/>
        </w:rPr>
        <w:t>Drunkorexia</w:t>
      </w:r>
      <w:proofErr w:type="spellEnd"/>
      <w:r w:rsidRPr="005C2210">
        <w:rPr>
          <w:rFonts w:ascii="Times New Roman" w:hAnsi="Times New Roman" w:cs="Times New Roman"/>
          <w:sz w:val="20"/>
          <w:szCs w:val="20"/>
        </w:rPr>
        <w:t xml:space="preserve"> is a condition where – usually older adolescents or younger adults – restrict calories to account for calories consumed during alcohol consumption (Burke, </w:t>
      </w:r>
      <w:proofErr w:type="spellStart"/>
      <w:r w:rsidRPr="005C2210">
        <w:rPr>
          <w:rFonts w:ascii="Times New Roman" w:hAnsi="Times New Roman" w:cs="Times New Roman"/>
          <w:sz w:val="20"/>
          <w:szCs w:val="20"/>
        </w:rPr>
        <w:t>Cremeens</w:t>
      </w:r>
      <w:proofErr w:type="spellEnd"/>
      <w:r w:rsidRPr="005C2210">
        <w:rPr>
          <w:rFonts w:ascii="Times New Roman" w:hAnsi="Times New Roman" w:cs="Times New Roman"/>
          <w:sz w:val="20"/>
          <w:szCs w:val="20"/>
        </w:rPr>
        <w:t xml:space="preserve">, &amp; Vail-Smith, 2010). Recognized on college campuses, </w:t>
      </w:r>
      <w:proofErr w:type="spellStart"/>
      <w:r w:rsidRPr="005C2210">
        <w:rPr>
          <w:rFonts w:ascii="Times New Roman" w:hAnsi="Times New Roman" w:cs="Times New Roman"/>
          <w:sz w:val="20"/>
          <w:szCs w:val="20"/>
        </w:rPr>
        <w:t>drunkorexia</w:t>
      </w:r>
      <w:proofErr w:type="spellEnd"/>
      <w:r w:rsidRPr="005C2210">
        <w:rPr>
          <w:rFonts w:ascii="Times New Roman" w:hAnsi="Times New Roman" w:cs="Times New Roman"/>
          <w:sz w:val="20"/>
          <w:szCs w:val="20"/>
        </w:rPr>
        <w:t xml:space="preserve"> is a term used among professionals interested in student development. It has not received nearly the attention of orthorexia from eating disorder experts, though research in consumption journals has emerged in the past 5 years (e.g., </w:t>
      </w:r>
      <w:proofErr w:type="spellStart"/>
      <w:r w:rsidRPr="005C2210">
        <w:rPr>
          <w:rFonts w:ascii="Times New Roman" w:hAnsi="Times New Roman" w:cs="Times New Roman"/>
          <w:color w:val="222222"/>
          <w:sz w:val="20"/>
          <w:szCs w:val="20"/>
          <w:shd w:val="clear" w:color="auto" w:fill="FFFFFF"/>
        </w:rPr>
        <w:t>Lupi</w:t>
      </w:r>
      <w:proofErr w:type="spellEnd"/>
      <w:r w:rsidRPr="005C2210">
        <w:rPr>
          <w:rFonts w:ascii="Times New Roman" w:hAnsi="Times New Roman" w:cs="Times New Roman"/>
          <w:color w:val="222222"/>
          <w:sz w:val="20"/>
          <w:szCs w:val="20"/>
          <w:shd w:val="clear" w:color="auto" w:fill="FFFFFF"/>
        </w:rPr>
        <w:t xml:space="preserve">, </w:t>
      </w:r>
      <w:proofErr w:type="spellStart"/>
      <w:r w:rsidRPr="005C2210">
        <w:rPr>
          <w:rFonts w:ascii="Times New Roman" w:hAnsi="Times New Roman" w:cs="Times New Roman"/>
          <w:color w:val="222222"/>
          <w:sz w:val="20"/>
          <w:szCs w:val="20"/>
          <w:shd w:val="clear" w:color="auto" w:fill="FFFFFF"/>
        </w:rPr>
        <w:t>Martinotti</w:t>
      </w:r>
      <w:proofErr w:type="spellEnd"/>
      <w:r w:rsidRPr="005C2210">
        <w:rPr>
          <w:rFonts w:ascii="Times New Roman" w:hAnsi="Times New Roman" w:cs="Times New Roman"/>
          <w:color w:val="222222"/>
          <w:sz w:val="20"/>
          <w:szCs w:val="20"/>
          <w:shd w:val="clear" w:color="auto" w:fill="FFFFFF"/>
        </w:rPr>
        <w:t xml:space="preserve">, &amp; </w:t>
      </w:r>
      <w:proofErr w:type="spellStart"/>
      <w:r w:rsidRPr="005C2210">
        <w:rPr>
          <w:rFonts w:ascii="Times New Roman" w:hAnsi="Times New Roman" w:cs="Times New Roman"/>
          <w:color w:val="222222"/>
          <w:sz w:val="20"/>
          <w:szCs w:val="20"/>
          <w:shd w:val="clear" w:color="auto" w:fill="FFFFFF"/>
        </w:rPr>
        <w:t>Giannantonio</w:t>
      </w:r>
      <w:proofErr w:type="spellEnd"/>
      <w:r w:rsidRPr="005C2210">
        <w:rPr>
          <w:rFonts w:ascii="Times New Roman" w:hAnsi="Times New Roman" w:cs="Times New Roman"/>
          <w:color w:val="222222"/>
          <w:sz w:val="20"/>
          <w:szCs w:val="20"/>
          <w:shd w:val="clear" w:color="auto" w:fill="FFFFFF"/>
        </w:rPr>
        <w:t xml:space="preserve">, 2017). Hunt and </w:t>
      </w:r>
      <w:proofErr w:type="spellStart"/>
      <w:r w:rsidRPr="005C2210">
        <w:rPr>
          <w:rFonts w:ascii="Times New Roman" w:hAnsi="Times New Roman" w:cs="Times New Roman"/>
          <w:color w:val="222222"/>
          <w:sz w:val="20"/>
          <w:szCs w:val="20"/>
          <w:shd w:val="clear" w:color="auto" w:fill="FFFFFF"/>
        </w:rPr>
        <w:t>Forbush</w:t>
      </w:r>
      <w:proofErr w:type="spellEnd"/>
      <w:r w:rsidRPr="005C2210">
        <w:rPr>
          <w:rFonts w:ascii="Times New Roman" w:hAnsi="Times New Roman" w:cs="Times New Roman"/>
          <w:color w:val="222222"/>
          <w:sz w:val="20"/>
          <w:szCs w:val="20"/>
          <w:shd w:val="clear" w:color="auto" w:fill="FFFFFF"/>
        </w:rPr>
        <w:t xml:space="preserve"> (2016) explicitly posed the question to eating experts of whether </w:t>
      </w:r>
      <w:proofErr w:type="spellStart"/>
      <w:r w:rsidRPr="005C2210">
        <w:rPr>
          <w:rFonts w:ascii="Times New Roman" w:hAnsi="Times New Roman" w:cs="Times New Roman"/>
          <w:color w:val="222222"/>
          <w:sz w:val="20"/>
          <w:szCs w:val="20"/>
          <w:shd w:val="clear" w:color="auto" w:fill="FFFFFF"/>
        </w:rPr>
        <w:t>drunkorexia</w:t>
      </w:r>
      <w:proofErr w:type="spellEnd"/>
      <w:r w:rsidRPr="005C2210">
        <w:rPr>
          <w:rFonts w:ascii="Times New Roman" w:hAnsi="Times New Roman" w:cs="Times New Roman"/>
          <w:color w:val="222222"/>
          <w:sz w:val="20"/>
          <w:szCs w:val="20"/>
          <w:shd w:val="clear" w:color="auto" w:fill="FFFFFF"/>
        </w:rPr>
        <w:t xml:space="preserve"> is an eating disorder, substance abuse disorder, or something altogether separate. They found that </w:t>
      </w:r>
      <w:proofErr w:type="spellStart"/>
      <w:r w:rsidRPr="005C2210">
        <w:rPr>
          <w:rFonts w:ascii="Times New Roman" w:hAnsi="Times New Roman" w:cs="Times New Roman"/>
          <w:color w:val="222222"/>
          <w:sz w:val="20"/>
          <w:szCs w:val="20"/>
          <w:shd w:val="clear" w:color="auto" w:fill="FFFFFF"/>
        </w:rPr>
        <w:t>drunkorexia</w:t>
      </w:r>
      <w:proofErr w:type="spellEnd"/>
      <w:r w:rsidRPr="005C2210">
        <w:rPr>
          <w:rFonts w:ascii="Times New Roman" w:hAnsi="Times New Roman" w:cs="Times New Roman"/>
          <w:color w:val="222222"/>
          <w:sz w:val="20"/>
          <w:szCs w:val="20"/>
          <w:shd w:val="clear" w:color="auto" w:fill="FFFFFF"/>
        </w:rPr>
        <w:t xml:space="preserve"> in women was more linked to eating disorders while </w:t>
      </w:r>
      <w:proofErr w:type="spellStart"/>
      <w:r w:rsidRPr="005C2210">
        <w:rPr>
          <w:rFonts w:ascii="Times New Roman" w:hAnsi="Times New Roman" w:cs="Times New Roman"/>
          <w:color w:val="222222"/>
          <w:sz w:val="20"/>
          <w:szCs w:val="20"/>
          <w:shd w:val="clear" w:color="auto" w:fill="FFFFFF"/>
        </w:rPr>
        <w:t>drunkorexia</w:t>
      </w:r>
      <w:proofErr w:type="spellEnd"/>
      <w:r w:rsidRPr="005C2210">
        <w:rPr>
          <w:rFonts w:ascii="Times New Roman" w:hAnsi="Times New Roman" w:cs="Times New Roman"/>
          <w:color w:val="222222"/>
          <w:sz w:val="20"/>
          <w:szCs w:val="20"/>
          <w:shd w:val="clear" w:color="auto" w:fill="FFFFFF"/>
        </w:rPr>
        <w:t xml:space="preserve"> in men was more linked to substance abuse disorders. Purging and binging scales yielded scores associated with participants’ </w:t>
      </w:r>
      <w:proofErr w:type="spellStart"/>
      <w:r w:rsidRPr="005C2210">
        <w:rPr>
          <w:rFonts w:ascii="Times New Roman" w:hAnsi="Times New Roman" w:cs="Times New Roman"/>
          <w:color w:val="222222"/>
          <w:sz w:val="20"/>
          <w:szCs w:val="20"/>
          <w:shd w:val="clear" w:color="auto" w:fill="FFFFFF"/>
        </w:rPr>
        <w:t>drunkorexia</w:t>
      </w:r>
      <w:proofErr w:type="spellEnd"/>
      <w:r w:rsidRPr="005C2210">
        <w:rPr>
          <w:rFonts w:ascii="Times New Roman" w:hAnsi="Times New Roman" w:cs="Times New Roman"/>
          <w:color w:val="222222"/>
          <w:sz w:val="20"/>
          <w:szCs w:val="20"/>
          <w:shd w:val="clear" w:color="auto" w:fill="FFFFFF"/>
        </w:rPr>
        <w:t xml:space="preserve"> behaviors, but body dissatisfaction was not part of the </w:t>
      </w:r>
      <w:proofErr w:type="spellStart"/>
      <w:r w:rsidRPr="005C2210">
        <w:rPr>
          <w:rFonts w:ascii="Times New Roman" w:hAnsi="Times New Roman" w:cs="Times New Roman"/>
          <w:color w:val="222222"/>
          <w:sz w:val="20"/>
          <w:szCs w:val="20"/>
          <w:shd w:val="clear" w:color="auto" w:fill="FFFFFF"/>
        </w:rPr>
        <w:t>drunkorexia</w:t>
      </w:r>
      <w:proofErr w:type="spellEnd"/>
      <w:r w:rsidRPr="005C2210">
        <w:rPr>
          <w:rFonts w:ascii="Times New Roman" w:hAnsi="Times New Roman" w:cs="Times New Roman"/>
          <w:color w:val="222222"/>
          <w:sz w:val="20"/>
          <w:szCs w:val="20"/>
          <w:shd w:val="clear" w:color="auto" w:fill="FFFFFF"/>
        </w:rPr>
        <w:t xml:space="preserve"> tendencies, a point of differentiation between </w:t>
      </w:r>
      <w:proofErr w:type="spellStart"/>
      <w:r w:rsidRPr="005C2210">
        <w:rPr>
          <w:rFonts w:ascii="Times New Roman" w:hAnsi="Times New Roman" w:cs="Times New Roman"/>
          <w:color w:val="222222"/>
          <w:sz w:val="20"/>
          <w:szCs w:val="20"/>
          <w:shd w:val="clear" w:color="auto" w:fill="FFFFFF"/>
        </w:rPr>
        <w:t>drunkorexia</w:t>
      </w:r>
      <w:proofErr w:type="spellEnd"/>
      <w:r w:rsidRPr="005C2210">
        <w:rPr>
          <w:rFonts w:ascii="Times New Roman" w:hAnsi="Times New Roman" w:cs="Times New Roman"/>
          <w:color w:val="222222"/>
          <w:sz w:val="20"/>
          <w:szCs w:val="20"/>
          <w:shd w:val="clear" w:color="auto" w:fill="FFFFFF"/>
        </w:rPr>
        <w:t xml:space="preserve"> and anorexia nervosa. Another conclusion was that college students who engage in behaviors indicative of </w:t>
      </w:r>
      <w:proofErr w:type="spellStart"/>
      <w:r w:rsidRPr="005C2210">
        <w:rPr>
          <w:rFonts w:ascii="Times New Roman" w:hAnsi="Times New Roman" w:cs="Times New Roman"/>
          <w:color w:val="222222"/>
          <w:sz w:val="20"/>
          <w:szCs w:val="20"/>
          <w:shd w:val="clear" w:color="auto" w:fill="FFFFFF"/>
        </w:rPr>
        <w:t>drunkorexia</w:t>
      </w:r>
      <w:proofErr w:type="spellEnd"/>
      <w:r w:rsidRPr="005C2210">
        <w:rPr>
          <w:rFonts w:ascii="Times New Roman" w:hAnsi="Times New Roman" w:cs="Times New Roman"/>
          <w:color w:val="222222"/>
          <w:sz w:val="20"/>
          <w:szCs w:val="20"/>
          <w:shd w:val="clear" w:color="auto" w:fill="FFFFFF"/>
        </w:rPr>
        <w:t xml:space="preserve"> are at higher risk of developing eating disorders and substance abuse disorders later in life. Be on the lookout for more research and information about this potential eating disorder and its impact. Even if it never reaches ICD status, it may have value as an OSFED type or as a risk factor for other disorders.</w:t>
      </w:r>
    </w:p>
    <w:p w:rsidR="00A43BF3" w:rsidRPr="00AD03B0" w:rsidRDefault="00A43BF3" w:rsidP="00A43BF3">
      <w:pPr>
        <w:adjustRightInd w:val="0"/>
        <w:snapToGrid w:val="0"/>
        <w:spacing w:before="120"/>
        <w:ind w:left="1152" w:hanging="720"/>
        <w:rPr>
          <w:color w:val="222222"/>
          <w:sz w:val="20"/>
          <w:szCs w:val="20"/>
          <w:shd w:val="clear" w:color="auto" w:fill="FFFFFF"/>
        </w:rPr>
      </w:pPr>
      <w:r w:rsidRPr="004B0972">
        <w:rPr>
          <w:color w:val="333333"/>
          <w:sz w:val="20"/>
          <w:szCs w:val="20"/>
          <w:shd w:val="clear" w:color="auto" w:fill="FFFFFF"/>
        </w:rPr>
        <w:t xml:space="preserve">Burke, SC, </w:t>
      </w:r>
      <w:proofErr w:type="spellStart"/>
      <w:r w:rsidRPr="004B0972">
        <w:rPr>
          <w:color w:val="333333"/>
          <w:sz w:val="20"/>
          <w:szCs w:val="20"/>
          <w:shd w:val="clear" w:color="auto" w:fill="FFFFFF"/>
        </w:rPr>
        <w:t>Cremeens</w:t>
      </w:r>
      <w:proofErr w:type="spellEnd"/>
      <w:r w:rsidRPr="004B0972">
        <w:rPr>
          <w:color w:val="333333"/>
          <w:sz w:val="20"/>
          <w:szCs w:val="20"/>
          <w:shd w:val="clear" w:color="auto" w:fill="FFFFFF"/>
        </w:rPr>
        <w:t>, J, Vail-Smith, K, </w:t>
      </w:r>
      <w:r w:rsidRPr="004B0972">
        <w:rPr>
          <w:rStyle w:val="nlmetal"/>
          <w:color w:val="333333"/>
          <w:sz w:val="20"/>
          <w:szCs w:val="20"/>
          <w:shd w:val="clear" w:color="auto" w:fill="FFFFFF"/>
        </w:rPr>
        <w:t>et al</w:t>
      </w:r>
      <w:r w:rsidRPr="004B0972">
        <w:rPr>
          <w:color w:val="333333"/>
          <w:sz w:val="20"/>
          <w:szCs w:val="20"/>
          <w:shd w:val="clear" w:color="auto" w:fill="FFFFFF"/>
        </w:rPr>
        <w:t>. (</w:t>
      </w:r>
      <w:r w:rsidRPr="004B0972">
        <w:rPr>
          <w:rStyle w:val="nlmyear"/>
          <w:color w:val="333333"/>
          <w:sz w:val="20"/>
          <w:szCs w:val="20"/>
          <w:shd w:val="clear" w:color="auto" w:fill="FFFFFF"/>
        </w:rPr>
        <w:t>2010</w:t>
      </w:r>
      <w:r w:rsidRPr="004B0972">
        <w:rPr>
          <w:color w:val="333333"/>
          <w:sz w:val="20"/>
          <w:szCs w:val="20"/>
          <w:shd w:val="clear" w:color="auto" w:fill="FFFFFF"/>
        </w:rPr>
        <w:t>) </w:t>
      </w:r>
      <w:proofErr w:type="spellStart"/>
      <w:r w:rsidRPr="004B0972">
        <w:rPr>
          <w:rStyle w:val="nlmarticle-title"/>
          <w:color w:val="333333"/>
          <w:sz w:val="20"/>
          <w:szCs w:val="20"/>
          <w:shd w:val="clear" w:color="auto" w:fill="FFFFFF"/>
        </w:rPr>
        <w:t>Drunkorexia</w:t>
      </w:r>
      <w:proofErr w:type="spellEnd"/>
      <w:r w:rsidRPr="004B0972">
        <w:rPr>
          <w:rStyle w:val="nlmarticle-title"/>
          <w:color w:val="333333"/>
          <w:sz w:val="20"/>
          <w:szCs w:val="20"/>
          <w:shd w:val="clear" w:color="auto" w:fill="FFFFFF"/>
        </w:rPr>
        <w:t>: Calorie restriction prior to alcohol consumption among college freshman</w:t>
      </w:r>
      <w:r w:rsidRPr="004B0972">
        <w:rPr>
          <w:color w:val="333333"/>
          <w:sz w:val="20"/>
          <w:szCs w:val="20"/>
          <w:shd w:val="clear" w:color="auto" w:fill="FFFFFF"/>
        </w:rPr>
        <w:t xml:space="preserve">. </w:t>
      </w:r>
      <w:r w:rsidRPr="004B0972">
        <w:rPr>
          <w:i/>
          <w:color w:val="333333"/>
          <w:sz w:val="20"/>
          <w:szCs w:val="20"/>
          <w:shd w:val="clear" w:color="auto" w:fill="FFFFFF"/>
        </w:rPr>
        <w:t>Journal of Alcohol and Drug Education</w:t>
      </w:r>
      <w:r>
        <w:rPr>
          <w:color w:val="333333"/>
          <w:sz w:val="20"/>
          <w:szCs w:val="20"/>
          <w:shd w:val="clear" w:color="auto" w:fill="FFFFFF"/>
        </w:rPr>
        <w:t>,</w:t>
      </w:r>
      <w:r w:rsidRPr="004B0972">
        <w:rPr>
          <w:i/>
          <w:color w:val="333333"/>
          <w:sz w:val="20"/>
          <w:szCs w:val="20"/>
          <w:shd w:val="clear" w:color="auto" w:fill="FFFFFF"/>
        </w:rPr>
        <w:t xml:space="preserve"> 54</w:t>
      </w:r>
      <w:r w:rsidRPr="004B0972">
        <w:rPr>
          <w:color w:val="333333"/>
          <w:sz w:val="20"/>
          <w:szCs w:val="20"/>
          <w:shd w:val="clear" w:color="auto" w:fill="FFFFFF"/>
        </w:rPr>
        <w:t>(2)</w:t>
      </w:r>
      <w:r>
        <w:rPr>
          <w:color w:val="333333"/>
          <w:sz w:val="20"/>
          <w:szCs w:val="20"/>
          <w:shd w:val="clear" w:color="auto" w:fill="FFFFFF"/>
        </w:rPr>
        <w:t>,</w:t>
      </w:r>
      <w:r w:rsidRPr="004B0972">
        <w:rPr>
          <w:color w:val="333333"/>
          <w:sz w:val="20"/>
          <w:szCs w:val="20"/>
          <w:shd w:val="clear" w:color="auto" w:fill="FFFFFF"/>
        </w:rPr>
        <w:t> </w:t>
      </w:r>
      <w:r w:rsidRPr="004B0972">
        <w:rPr>
          <w:rStyle w:val="nlmfpage"/>
          <w:color w:val="333333"/>
          <w:sz w:val="20"/>
          <w:szCs w:val="20"/>
          <w:shd w:val="clear" w:color="auto" w:fill="FFFFFF"/>
        </w:rPr>
        <w:t>17</w:t>
      </w:r>
      <w:r w:rsidRPr="004B0972">
        <w:rPr>
          <w:color w:val="333333"/>
          <w:sz w:val="20"/>
          <w:szCs w:val="20"/>
          <w:shd w:val="clear" w:color="auto" w:fill="FFFFFF"/>
        </w:rPr>
        <w:t>–</w:t>
      </w:r>
      <w:r w:rsidRPr="004B0972">
        <w:rPr>
          <w:rStyle w:val="nlmlpage"/>
          <w:color w:val="333333"/>
          <w:sz w:val="20"/>
          <w:szCs w:val="20"/>
          <w:shd w:val="clear" w:color="auto" w:fill="FFFFFF"/>
        </w:rPr>
        <w:t>34</w:t>
      </w:r>
      <w:r w:rsidRPr="004B0972">
        <w:rPr>
          <w:color w:val="333333"/>
          <w:sz w:val="20"/>
          <w:szCs w:val="20"/>
          <w:shd w:val="clear" w:color="auto" w:fill="FFFFFF"/>
        </w:rPr>
        <w:t>.</w:t>
      </w:r>
    </w:p>
    <w:p w:rsidR="00A43BF3" w:rsidRPr="00AD03B0" w:rsidRDefault="00A43BF3" w:rsidP="00A43BF3">
      <w:pPr>
        <w:ind w:left="1152" w:hanging="720"/>
        <w:rPr>
          <w:color w:val="222222"/>
          <w:sz w:val="20"/>
          <w:szCs w:val="20"/>
          <w:shd w:val="clear" w:color="auto" w:fill="FFFFFF"/>
        </w:rPr>
      </w:pPr>
      <w:r w:rsidRPr="004B0972">
        <w:rPr>
          <w:color w:val="333333"/>
          <w:sz w:val="20"/>
          <w:szCs w:val="20"/>
          <w:shd w:val="clear" w:color="auto" w:fill="FFFFFF"/>
        </w:rPr>
        <w:t xml:space="preserve">Hunt, TK, </w:t>
      </w:r>
      <w:proofErr w:type="spellStart"/>
      <w:r w:rsidRPr="004B0972">
        <w:rPr>
          <w:color w:val="333333"/>
          <w:sz w:val="20"/>
          <w:szCs w:val="20"/>
          <w:shd w:val="clear" w:color="auto" w:fill="FFFFFF"/>
        </w:rPr>
        <w:t>Forbush</w:t>
      </w:r>
      <w:proofErr w:type="spellEnd"/>
      <w:r w:rsidRPr="004B0972">
        <w:rPr>
          <w:color w:val="333333"/>
          <w:sz w:val="20"/>
          <w:szCs w:val="20"/>
          <w:shd w:val="clear" w:color="auto" w:fill="FFFFFF"/>
        </w:rPr>
        <w:t>, KT (</w:t>
      </w:r>
      <w:r w:rsidRPr="004B0972">
        <w:rPr>
          <w:rStyle w:val="nlmyear"/>
          <w:color w:val="333333"/>
          <w:sz w:val="20"/>
          <w:szCs w:val="20"/>
          <w:shd w:val="clear" w:color="auto" w:fill="FFFFFF"/>
        </w:rPr>
        <w:t>2016</w:t>
      </w:r>
      <w:r w:rsidRPr="004B0972">
        <w:rPr>
          <w:color w:val="333333"/>
          <w:sz w:val="20"/>
          <w:szCs w:val="20"/>
          <w:shd w:val="clear" w:color="auto" w:fill="FFFFFF"/>
        </w:rPr>
        <w:t>) </w:t>
      </w:r>
      <w:r w:rsidRPr="004B0972">
        <w:rPr>
          <w:rStyle w:val="nlmarticle-title"/>
          <w:color w:val="333333"/>
          <w:sz w:val="20"/>
          <w:szCs w:val="20"/>
          <w:shd w:val="clear" w:color="auto" w:fill="FFFFFF"/>
        </w:rPr>
        <w:t>Is “</w:t>
      </w:r>
      <w:proofErr w:type="spellStart"/>
      <w:r w:rsidRPr="004B0972">
        <w:rPr>
          <w:rStyle w:val="nlmarticle-title"/>
          <w:color w:val="333333"/>
          <w:sz w:val="20"/>
          <w:szCs w:val="20"/>
          <w:shd w:val="clear" w:color="auto" w:fill="FFFFFF"/>
        </w:rPr>
        <w:t>drunkorexia</w:t>
      </w:r>
      <w:proofErr w:type="spellEnd"/>
      <w:r w:rsidRPr="004B0972">
        <w:rPr>
          <w:rStyle w:val="nlmarticle-title"/>
          <w:color w:val="333333"/>
          <w:sz w:val="20"/>
          <w:szCs w:val="20"/>
          <w:shd w:val="clear" w:color="auto" w:fill="FFFFFF"/>
        </w:rPr>
        <w:t>” an eating disorder, substance use disorder, or both?</w:t>
      </w:r>
      <w:r w:rsidRPr="004B0972">
        <w:rPr>
          <w:color w:val="333333"/>
          <w:sz w:val="20"/>
          <w:szCs w:val="20"/>
          <w:shd w:val="clear" w:color="auto" w:fill="FFFFFF"/>
        </w:rPr>
        <w:t> </w:t>
      </w:r>
      <w:r w:rsidRPr="004B0972">
        <w:rPr>
          <w:i/>
          <w:color w:val="333333"/>
          <w:sz w:val="20"/>
          <w:szCs w:val="20"/>
          <w:shd w:val="clear" w:color="auto" w:fill="FFFFFF"/>
        </w:rPr>
        <w:t>Eating Behaviors</w:t>
      </w:r>
      <w:r>
        <w:rPr>
          <w:color w:val="333333"/>
          <w:sz w:val="20"/>
          <w:szCs w:val="20"/>
          <w:shd w:val="clear" w:color="auto" w:fill="FFFFFF"/>
        </w:rPr>
        <w:t>,</w:t>
      </w:r>
      <w:r w:rsidRPr="004B0972">
        <w:rPr>
          <w:color w:val="333333"/>
          <w:sz w:val="20"/>
          <w:szCs w:val="20"/>
          <w:shd w:val="clear" w:color="auto" w:fill="FFFFFF"/>
        </w:rPr>
        <w:t xml:space="preserve"> </w:t>
      </w:r>
      <w:r w:rsidRPr="004B0972">
        <w:rPr>
          <w:i/>
          <w:color w:val="333333"/>
          <w:sz w:val="20"/>
          <w:szCs w:val="20"/>
          <w:shd w:val="clear" w:color="auto" w:fill="FFFFFF"/>
        </w:rPr>
        <w:t>22</w:t>
      </w:r>
      <w:r>
        <w:rPr>
          <w:color w:val="333333"/>
          <w:sz w:val="20"/>
          <w:szCs w:val="20"/>
          <w:shd w:val="clear" w:color="auto" w:fill="FFFFFF"/>
        </w:rPr>
        <w:t>,</w:t>
      </w:r>
      <w:r w:rsidRPr="005C2210">
        <w:rPr>
          <w:color w:val="333333"/>
          <w:sz w:val="20"/>
          <w:szCs w:val="20"/>
          <w:shd w:val="clear" w:color="auto" w:fill="FFFFFF"/>
        </w:rPr>
        <w:t> </w:t>
      </w:r>
      <w:r w:rsidRPr="005C2210">
        <w:rPr>
          <w:rStyle w:val="nlmfpage"/>
          <w:color w:val="333333"/>
          <w:sz w:val="20"/>
          <w:szCs w:val="20"/>
          <w:shd w:val="clear" w:color="auto" w:fill="FFFFFF"/>
        </w:rPr>
        <w:t>40</w:t>
      </w:r>
      <w:r w:rsidRPr="005C2210">
        <w:rPr>
          <w:color w:val="333333"/>
          <w:sz w:val="20"/>
          <w:szCs w:val="20"/>
          <w:shd w:val="clear" w:color="auto" w:fill="FFFFFF"/>
        </w:rPr>
        <w:t>–</w:t>
      </w:r>
      <w:r w:rsidRPr="005C2210">
        <w:rPr>
          <w:rStyle w:val="nlmlpage"/>
          <w:color w:val="333333"/>
          <w:sz w:val="20"/>
          <w:szCs w:val="20"/>
          <w:shd w:val="clear" w:color="auto" w:fill="FFFFFF"/>
        </w:rPr>
        <w:t>45</w:t>
      </w:r>
      <w:r w:rsidRPr="005C2210">
        <w:rPr>
          <w:color w:val="333333"/>
          <w:sz w:val="20"/>
          <w:szCs w:val="20"/>
          <w:shd w:val="clear" w:color="auto" w:fill="FFFFFF"/>
        </w:rPr>
        <w:t>.</w:t>
      </w:r>
    </w:p>
    <w:p w:rsidR="00A43BF3" w:rsidRDefault="00A43BF3" w:rsidP="00A43BF3">
      <w:pPr>
        <w:ind w:left="1152" w:hanging="720"/>
        <w:rPr>
          <w:color w:val="222222"/>
          <w:sz w:val="20"/>
          <w:szCs w:val="20"/>
          <w:shd w:val="clear" w:color="auto" w:fill="FFFFFF"/>
        </w:rPr>
      </w:pPr>
      <w:proofErr w:type="spellStart"/>
      <w:r w:rsidRPr="004B0972">
        <w:rPr>
          <w:color w:val="222222"/>
          <w:sz w:val="20"/>
          <w:szCs w:val="20"/>
          <w:shd w:val="clear" w:color="auto" w:fill="FFFFFF"/>
        </w:rPr>
        <w:t>Lupi</w:t>
      </w:r>
      <w:proofErr w:type="spellEnd"/>
      <w:r w:rsidRPr="004B0972">
        <w:rPr>
          <w:color w:val="222222"/>
          <w:sz w:val="20"/>
          <w:szCs w:val="20"/>
          <w:shd w:val="clear" w:color="auto" w:fill="FFFFFF"/>
        </w:rPr>
        <w:t xml:space="preserve">, M., </w:t>
      </w:r>
      <w:proofErr w:type="spellStart"/>
      <w:r w:rsidRPr="004B0972">
        <w:rPr>
          <w:color w:val="222222"/>
          <w:sz w:val="20"/>
          <w:szCs w:val="20"/>
          <w:shd w:val="clear" w:color="auto" w:fill="FFFFFF"/>
        </w:rPr>
        <w:t>Martinotti</w:t>
      </w:r>
      <w:proofErr w:type="spellEnd"/>
      <w:r w:rsidRPr="004B0972">
        <w:rPr>
          <w:color w:val="222222"/>
          <w:sz w:val="20"/>
          <w:szCs w:val="20"/>
          <w:shd w:val="clear" w:color="auto" w:fill="FFFFFF"/>
        </w:rPr>
        <w:t xml:space="preserve">, G., &amp; Di </w:t>
      </w:r>
      <w:proofErr w:type="spellStart"/>
      <w:r w:rsidRPr="004B0972">
        <w:rPr>
          <w:color w:val="222222"/>
          <w:sz w:val="20"/>
          <w:szCs w:val="20"/>
          <w:shd w:val="clear" w:color="auto" w:fill="FFFFFF"/>
        </w:rPr>
        <w:t>Giannantonio</w:t>
      </w:r>
      <w:proofErr w:type="spellEnd"/>
      <w:r w:rsidRPr="004B0972">
        <w:rPr>
          <w:color w:val="222222"/>
          <w:sz w:val="20"/>
          <w:szCs w:val="20"/>
          <w:shd w:val="clear" w:color="auto" w:fill="FFFFFF"/>
        </w:rPr>
        <w:t xml:space="preserve">, M. (2017). </w:t>
      </w:r>
      <w:proofErr w:type="spellStart"/>
      <w:r w:rsidRPr="004B0972">
        <w:rPr>
          <w:color w:val="222222"/>
          <w:sz w:val="20"/>
          <w:szCs w:val="20"/>
          <w:shd w:val="clear" w:color="auto" w:fill="FFFFFF"/>
        </w:rPr>
        <w:t>Drunkorexia</w:t>
      </w:r>
      <w:proofErr w:type="spellEnd"/>
      <w:r w:rsidRPr="004B0972">
        <w:rPr>
          <w:color w:val="222222"/>
          <w:sz w:val="20"/>
          <w:szCs w:val="20"/>
          <w:shd w:val="clear" w:color="auto" w:fill="FFFFFF"/>
        </w:rPr>
        <w:t>:</w:t>
      </w:r>
      <w:r w:rsidRPr="001227EC">
        <w:rPr>
          <w:color w:val="222222"/>
          <w:sz w:val="20"/>
          <w:szCs w:val="20"/>
          <w:shd w:val="clear" w:color="auto" w:fill="FFFFFF"/>
        </w:rPr>
        <w:t xml:space="preserve"> an emerging trend in young adults. </w:t>
      </w:r>
      <w:r w:rsidRPr="001227EC">
        <w:rPr>
          <w:i/>
          <w:iCs/>
          <w:color w:val="222222"/>
          <w:sz w:val="20"/>
          <w:szCs w:val="20"/>
          <w:shd w:val="clear" w:color="auto" w:fill="FFFFFF"/>
        </w:rPr>
        <w:t>Eating and Weight Disorders-Studies on Anorexia, Bulimia and Obesity</w:t>
      </w:r>
      <w:r w:rsidRPr="001227EC">
        <w:rPr>
          <w:color w:val="222222"/>
          <w:sz w:val="20"/>
          <w:szCs w:val="20"/>
          <w:shd w:val="clear" w:color="auto" w:fill="FFFFFF"/>
        </w:rPr>
        <w:t>, </w:t>
      </w:r>
      <w:r w:rsidRPr="001227EC">
        <w:rPr>
          <w:i/>
          <w:iCs/>
          <w:color w:val="222222"/>
          <w:sz w:val="20"/>
          <w:szCs w:val="20"/>
          <w:shd w:val="clear" w:color="auto" w:fill="FFFFFF"/>
        </w:rPr>
        <w:t>22</w:t>
      </w:r>
      <w:r w:rsidRPr="001227EC">
        <w:rPr>
          <w:color w:val="222222"/>
          <w:sz w:val="20"/>
          <w:szCs w:val="20"/>
          <w:shd w:val="clear" w:color="auto" w:fill="FFFFFF"/>
        </w:rPr>
        <w:t>(4), 619-622.</w:t>
      </w:r>
    </w:p>
    <w:p w:rsidR="00A43BF3" w:rsidRPr="001227EC" w:rsidRDefault="00A43BF3" w:rsidP="00A43BF3">
      <w:pPr>
        <w:ind w:left="720" w:hanging="720"/>
        <w:rPr>
          <w:color w:val="222222"/>
          <w:sz w:val="20"/>
          <w:szCs w:val="20"/>
          <w:shd w:val="clear" w:color="auto" w:fill="FFFFFF"/>
        </w:rPr>
      </w:pPr>
    </w:p>
    <w:p w:rsidR="00A43BF3" w:rsidRPr="005C2210" w:rsidRDefault="00A43BF3" w:rsidP="00A43BF3">
      <w:pPr>
        <w:adjustRightInd w:val="0"/>
        <w:snapToGrid w:val="0"/>
        <w:spacing w:before="120"/>
        <w:ind w:left="720" w:hanging="720"/>
        <w:rPr>
          <w:b/>
          <w:sz w:val="20"/>
          <w:szCs w:val="20"/>
        </w:rPr>
      </w:pPr>
      <w:r w:rsidRPr="005C2210">
        <w:rPr>
          <w:b/>
          <w:sz w:val="20"/>
          <w:szCs w:val="20"/>
        </w:rPr>
        <w:t>Idea for class exercise and discussion:</w:t>
      </w:r>
    </w:p>
    <w:p w:rsidR="00A43BF3" w:rsidRPr="005C2210" w:rsidRDefault="00A43BF3" w:rsidP="00A43BF3">
      <w:pPr>
        <w:adjustRightInd w:val="0"/>
        <w:snapToGrid w:val="0"/>
        <w:spacing w:before="120"/>
        <w:ind w:left="720" w:hanging="720"/>
        <w:rPr>
          <w:sz w:val="20"/>
          <w:szCs w:val="20"/>
        </w:rPr>
      </w:pPr>
      <w:r w:rsidRPr="005C2210">
        <w:rPr>
          <w:sz w:val="20"/>
          <w:szCs w:val="20"/>
        </w:rPr>
        <w:t>Show one or more of the following videos to students or assign one of the videos for students to watch.</w:t>
      </w:r>
    </w:p>
    <w:p w:rsidR="00A43BF3" w:rsidRPr="005C2210" w:rsidRDefault="00A43BF3" w:rsidP="00A43BF3">
      <w:pPr>
        <w:pStyle w:val="ListParagraph"/>
        <w:numPr>
          <w:ilvl w:val="0"/>
          <w:numId w:val="1"/>
        </w:numPr>
        <w:adjustRightInd w:val="0"/>
        <w:snapToGrid w:val="0"/>
        <w:spacing w:before="120"/>
        <w:rPr>
          <w:rFonts w:ascii="Times New Roman" w:hAnsi="Times New Roman" w:cs="Times New Roman"/>
          <w:sz w:val="20"/>
          <w:szCs w:val="20"/>
        </w:rPr>
      </w:pPr>
      <w:proofErr w:type="spellStart"/>
      <w:r w:rsidRPr="005C2210">
        <w:rPr>
          <w:rFonts w:ascii="Times New Roman" w:hAnsi="Times New Roman" w:cs="Times New Roman"/>
          <w:sz w:val="20"/>
          <w:szCs w:val="20"/>
        </w:rPr>
        <w:t>ThinkTank</w:t>
      </w:r>
      <w:proofErr w:type="spellEnd"/>
      <w:r w:rsidRPr="005C2210">
        <w:rPr>
          <w:rFonts w:ascii="Times New Roman" w:hAnsi="Times New Roman" w:cs="Times New Roman"/>
          <w:sz w:val="20"/>
          <w:szCs w:val="20"/>
        </w:rPr>
        <w:t xml:space="preserve"> (2011): </w:t>
      </w:r>
      <w:hyperlink r:id="rId5" w:history="1">
        <w:r w:rsidRPr="005C2210">
          <w:rPr>
            <w:rStyle w:val="Hyperlink"/>
            <w:rFonts w:ascii="Times New Roman" w:hAnsi="Times New Roman" w:cs="Times New Roman"/>
            <w:sz w:val="20"/>
            <w:szCs w:val="20"/>
          </w:rPr>
          <w:t>https://www.youtube.com/watch?v=rufU-DIJnyA</w:t>
        </w:r>
      </w:hyperlink>
      <w:r w:rsidRPr="005C2210">
        <w:rPr>
          <w:rFonts w:ascii="Times New Roman" w:hAnsi="Times New Roman" w:cs="Times New Roman"/>
          <w:sz w:val="20"/>
          <w:szCs w:val="20"/>
        </w:rPr>
        <w:t xml:space="preserve"> </w:t>
      </w:r>
    </w:p>
    <w:p w:rsidR="00A43BF3" w:rsidRPr="005C2210" w:rsidRDefault="00A43BF3" w:rsidP="00A43BF3">
      <w:pPr>
        <w:pStyle w:val="ListParagraph"/>
        <w:numPr>
          <w:ilvl w:val="0"/>
          <w:numId w:val="1"/>
        </w:numPr>
        <w:adjustRightInd w:val="0"/>
        <w:snapToGrid w:val="0"/>
        <w:spacing w:before="120"/>
        <w:rPr>
          <w:rFonts w:ascii="Times New Roman" w:hAnsi="Times New Roman" w:cs="Times New Roman"/>
          <w:sz w:val="20"/>
          <w:szCs w:val="20"/>
        </w:rPr>
      </w:pPr>
      <w:r w:rsidRPr="005C2210">
        <w:rPr>
          <w:rFonts w:ascii="Times New Roman" w:hAnsi="Times New Roman" w:cs="Times New Roman"/>
          <w:sz w:val="20"/>
          <w:szCs w:val="20"/>
        </w:rPr>
        <w:t xml:space="preserve">CBS News (2016): </w:t>
      </w:r>
      <w:hyperlink r:id="rId6" w:history="1">
        <w:r w:rsidRPr="005C2210">
          <w:rPr>
            <w:rStyle w:val="Hyperlink"/>
            <w:rFonts w:ascii="Times New Roman" w:hAnsi="Times New Roman" w:cs="Times New Roman"/>
            <w:sz w:val="20"/>
            <w:szCs w:val="20"/>
          </w:rPr>
          <w:t>https://www.youtube.com/watch?v=igOF4TvP-G0</w:t>
        </w:r>
      </w:hyperlink>
    </w:p>
    <w:p w:rsidR="00A43BF3" w:rsidRPr="005C2210" w:rsidRDefault="00A43BF3" w:rsidP="00A43BF3">
      <w:pPr>
        <w:pStyle w:val="ListParagraph"/>
        <w:numPr>
          <w:ilvl w:val="0"/>
          <w:numId w:val="1"/>
        </w:numPr>
        <w:adjustRightInd w:val="0"/>
        <w:snapToGrid w:val="0"/>
        <w:spacing w:before="120"/>
        <w:rPr>
          <w:rFonts w:ascii="Times New Roman" w:hAnsi="Times New Roman" w:cs="Times New Roman"/>
          <w:sz w:val="20"/>
          <w:szCs w:val="20"/>
        </w:rPr>
      </w:pPr>
      <w:r w:rsidRPr="005C2210">
        <w:rPr>
          <w:rFonts w:ascii="Times New Roman" w:hAnsi="Times New Roman" w:cs="Times New Roman"/>
          <w:sz w:val="20"/>
          <w:szCs w:val="20"/>
        </w:rPr>
        <w:t xml:space="preserve">NBC News (2016): </w:t>
      </w:r>
      <w:hyperlink r:id="rId7" w:history="1">
        <w:r w:rsidRPr="005C2210">
          <w:rPr>
            <w:rStyle w:val="Hyperlink"/>
            <w:rFonts w:ascii="Times New Roman" w:hAnsi="Times New Roman" w:cs="Times New Roman"/>
            <w:sz w:val="20"/>
            <w:szCs w:val="20"/>
          </w:rPr>
          <w:t>https://www.youtube.com/watch?v=jaQKa0OrC3I</w:t>
        </w:r>
      </w:hyperlink>
      <w:r w:rsidRPr="005C2210">
        <w:rPr>
          <w:rFonts w:ascii="Times New Roman" w:hAnsi="Times New Roman" w:cs="Times New Roman"/>
          <w:sz w:val="20"/>
          <w:szCs w:val="20"/>
        </w:rPr>
        <w:t xml:space="preserve"> </w:t>
      </w:r>
    </w:p>
    <w:p w:rsidR="00A43BF3" w:rsidRPr="005C2210" w:rsidRDefault="00A43BF3" w:rsidP="00A43BF3">
      <w:pPr>
        <w:pStyle w:val="ListParagraph"/>
        <w:numPr>
          <w:ilvl w:val="1"/>
          <w:numId w:val="1"/>
        </w:numPr>
        <w:adjustRightInd w:val="0"/>
        <w:snapToGrid w:val="0"/>
        <w:spacing w:before="120"/>
        <w:rPr>
          <w:rFonts w:ascii="Times New Roman" w:hAnsi="Times New Roman" w:cs="Times New Roman"/>
          <w:sz w:val="20"/>
          <w:szCs w:val="20"/>
        </w:rPr>
      </w:pPr>
      <w:r w:rsidRPr="005C2210">
        <w:rPr>
          <w:rFonts w:ascii="Times New Roman" w:hAnsi="Times New Roman" w:cs="Times New Roman"/>
          <w:sz w:val="20"/>
          <w:szCs w:val="20"/>
        </w:rPr>
        <w:t>These are brief descriptions geared towards a layperson audience.</w:t>
      </w:r>
    </w:p>
    <w:p w:rsidR="00A43BF3" w:rsidRPr="005C2210" w:rsidRDefault="00A43BF3" w:rsidP="00A43BF3">
      <w:pPr>
        <w:pStyle w:val="ListParagraph"/>
        <w:numPr>
          <w:ilvl w:val="1"/>
          <w:numId w:val="1"/>
        </w:numPr>
        <w:adjustRightInd w:val="0"/>
        <w:snapToGrid w:val="0"/>
        <w:spacing w:before="120"/>
        <w:rPr>
          <w:rFonts w:ascii="Times New Roman" w:hAnsi="Times New Roman" w:cs="Times New Roman"/>
          <w:sz w:val="20"/>
          <w:szCs w:val="20"/>
        </w:rPr>
      </w:pPr>
      <w:r w:rsidRPr="005C2210">
        <w:rPr>
          <w:rFonts w:ascii="Times New Roman" w:hAnsi="Times New Roman" w:cs="Times New Roman"/>
          <w:sz w:val="20"/>
          <w:szCs w:val="20"/>
        </w:rPr>
        <w:t>Introduces the topic, raises conversations about purpose, prevalence, and dangers.</w:t>
      </w:r>
    </w:p>
    <w:p w:rsidR="00A43BF3" w:rsidRPr="005C2210" w:rsidRDefault="00A43BF3" w:rsidP="00A43BF3">
      <w:pPr>
        <w:pStyle w:val="ListParagraph"/>
        <w:numPr>
          <w:ilvl w:val="1"/>
          <w:numId w:val="1"/>
        </w:numPr>
        <w:adjustRightInd w:val="0"/>
        <w:snapToGrid w:val="0"/>
        <w:spacing w:before="120"/>
        <w:rPr>
          <w:rFonts w:ascii="Times New Roman" w:hAnsi="Times New Roman" w:cs="Times New Roman"/>
          <w:sz w:val="20"/>
          <w:szCs w:val="20"/>
        </w:rPr>
      </w:pPr>
      <w:r w:rsidRPr="005C2210">
        <w:rPr>
          <w:rFonts w:ascii="Times New Roman" w:hAnsi="Times New Roman" w:cs="Times New Roman"/>
          <w:sz w:val="20"/>
          <w:szCs w:val="20"/>
        </w:rPr>
        <w:t xml:space="preserve">What cultural elements do you think promote </w:t>
      </w:r>
      <w:proofErr w:type="spellStart"/>
      <w:r w:rsidRPr="005C2210">
        <w:rPr>
          <w:rFonts w:ascii="Times New Roman" w:hAnsi="Times New Roman" w:cs="Times New Roman"/>
          <w:sz w:val="20"/>
          <w:szCs w:val="20"/>
        </w:rPr>
        <w:t>drunkorexia</w:t>
      </w:r>
      <w:proofErr w:type="spellEnd"/>
      <w:r w:rsidRPr="005C2210">
        <w:rPr>
          <w:rFonts w:ascii="Times New Roman" w:hAnsi="Times New Roman" w:cs="Times New Roman"/>
          <w:sz w:val="20"/>
          <w:szCs w:val="20"/>
        </w:rPr>
        <w:t>? (These videos are from the USA.)</w:t>
      </w:r>
    </w:p>
    <w:p w:rsidR="00A43BF3" w:rsidRPr="005C2210" w:rsidRDefault="00A43BF3" w:rsidP="00A43BF3">
      <w:pPr>
        <w:pStyle w:val="ListParagraph"/>
        <w:numPr>
          <w:ilvl w:val="0"/>
          <w:numId w:val="1"/>
        </w:numPr>
        <w:adjustRightInd w:val="0"/>
        <w:snapToGrid w:val="0"/>
        <w:spacing w:before="120"/>
        <w:rPr>
          <w:rFonts w:ascii="Times New Roman" w:hAnsi="Times New Roman" w:cs="Times New Roman"/>
          <w:sz w:val="20"/>
          <w:szCs w:val="20"/>
        </w:rPr>
      </w:pPr>
      <w:r w:rsidRPr="005C2210">
        <w:rPr>
          <w:rFonts w:ascii="Times New Roman" w:hAnsi="Times New Roman" w:cs="Times New Roman"/>
          <w:sz w:val="20"/>
          <w:szCs w:val="20"/>
        </w:rPr>
        <w:t xml:space="preserve">The Farley Center (2017): </w:t>
      </w:r>
      <w:hyperlink r:id="rId8" w:history="1">
        <w:r w:rsidRPr="005C2210">
          <w:rPr>
            <w:rStyle w:val="Hyperlink"/>
            <w:rFonts w:ascii="Times New Roman" w:hAnsi="Times New Roman" w:cs="Times New Roman"/>
            <w:sz w:val="20"/>
            <w:szCs w:val="20"/>
          </w:rPr>
          <w:t>https://www.youtube.com/watch?v=qFihRyXoVBk</w:t>
        </w:r>
      </w:hyperlink>
    </w:p>
    <w:p w:rsidR="00A43BF3" w:rsidRPr="005C2210" w:rsidRDefault="00A43BF3" w:rsidP="00A43BF3">
      <w:pPr>
        <w:pStyle w:val="ListParagraph"/>
        <w:numPr>
          <w:ilvl w:val="1"/>
          <w:numId w:val="1"/>
        </w:numPr>
        <w:adjustRightInd w:val="0"/>
        <w:snapToGrid w:val="0"/>
        <w:spacing w:before="120"/>
        <w:rPr>
          <w:rFonts w:ascii="Times New Roman" w:hAnsi="Times New Roman" w:cs="Times New Roman"/>
          <w:sz w:val="20"/>
          <w:szCs w:val="20"/>
        </w:rPr>
      </w:pPr>
      <w:r w:rsidRPr="005C2210">
        <w:rPr>
          <w:rFonts w:ascii="Times New Roman" w:hAnsi="Times New Roman" w:cs="Times New Roman"/>
          <w:sz w:val="20"/>
          <w:szCs w:val="20"/>
        </w:rPr>
        <w:t>Introduces ideas of disordered behavior that spans multiple classifications.</w:t>
      </w:r>
    </w:p>
    <w:p w:rsidR="00A43BF3" w:rsidRPr="005C2210" w:rsidRDefault="00A43BF3" w:rsidP="00A43BF3">
      <w:pPr>
        <w:pStyle w:val="ListParagraph"/>
        <w:numPr>
          <w:ilvl w:val="1"/>
          <w:numId w:val="1"/>
        </w:numPr>
        <w:adjustRightInd w:val="0"/>
        <w:snapToGrid w:val="0"/>
        <w:spacing w:before="120"/>
        <w:rPr>
          <w:rFonts w:ascii="Times New Roman" w:hAnsi="Times New Roman" w:cs="Times New Roman"/>
          <w:sz w:val="20"/>
          <w:szCs w:val="20"/>
        </w:rPr>
      </w:pPr>
      <w:r w:rsidRPr="005C2210">
        <w:rPr>
          <w:rFonts w:ascii="Times New Roman" w:hAnsi="Times New Roman" w:cs="Times New Roman"/>
          <w:sz w:val="20"/>
          <w:szCs w:val="20"/>
        </w:rPr>
        <w:t>This is a good primer or review of various disordered eating symptoms.</w:t>
      </w:r>
    </w:p>
    <w:p w:rsidR="00A43BF3" w:rsidRPr="005C2210" w:rsidRDefault="00A43BF3" w:rsidP="00A43BF3">
      <w:pPr>
        <w:adjustRightInd w:val="0"/>
        <w:snapToGrid w:val="0"/>
        <w:spacing w:before="120"/>
        <w:rPr>
          <w:sz w:val="20"/>
          <w:szCs w:val="20"/>
        </w:rPr>
      </w:pPr>
      <w:r w:rsidRPr="005C2210">
        <w:rPr>
          <w:sz w:val="20"/>
          <w:szCs w:val="20"/>
        </w:rPr>
        <w:t xml:space="preserve">Open and manage a class discussion about </w:t>
      </w:r>
      <w:proofErr w:type="spellStart"/>
      <w:r w:rsidRPr="005C2210">
        <w:rPr>
          <w:sz w:val="20"/>
          <w:szCs w:val="20"/>
        </w:rPr>
        <w:t>drunkorexia</w:t>
      </w:r>
      <w:proofErr w:type="spellEnd"/>
      <w:r w:rsidRPr="005C2210">
        <w:rPr>
          <w:sz w:val="20"/>
          <w:szCs w:val="20"/>
        </w:rPr>
        <w:t>. Potential conversation starters:</w:t>
      </w:r>
    </w:p>
    <w:p w:rsidR="00A43BF3" w:rsidRPr="005C2210" w:rsidRDefault="00A43BF3" w:rsidP="00A43BF3">
      <w:pPr>
        <w:pStyle w:val="ListParagraph"/>
        <w:numPr>
          <w:ilvl w:val="0"/>
          <w:numId w:val="2"/>
        </w:numPr>
        <w:adjustRightInd w:val="0"/>
        <w:snapToGrid w:val="0"/>
        <w:spacing w:before="120"/>
        <w:rPr>
          <w:rFonts w:ascii="Times New Roman" w:hAnsi="Times New Roman" w:cs="Times New Roman"/>
          <w:sz w:val="20"/>
          <w:szCs w:val="20"/>
        </w:rPr>
      </w:pPr>
      <w:r w:rsidRPr="005C2210">
        <w:rPr>
          <w:rFonts w:ascii="Times New Roman" w:hAnsi="Times New Roman" w:cs="Times New Roman"/>
          <w:sz w:val="20"/>
          <w:szCs w:val="20"/>
        </w:rPr>
        <w:t xml:space="preserve">Ask students if they have observed this behavior, any prior knowledge they had of this term or behavior trend, and whether they view it as problematic. </w:t>
      </w:r>
    </w:p>
    <w:p w:rsidR="00A43BF3" w:rsidRPr="005C2210" w:rsidRDefault="00A43BF3" w:rsidP="00A43BF3">
      <w:pPr>
        <w:pStyle w:val="ListParagraph"/>
        <w:numPr>
          <w:ilvl w:val="0"/>
          <w:numId w:val="2"/>
        </w:numPr>
        <w:adjustRightInd w:val="0"/>
        <w:snapToGrid w:val="0"/>
        <w:spacing w:before="120"/>
        <w:rPr>
          <w:rFonts w:ascii="Times New Roman" w:hAnsi="Times New Roman" w:cs="Times New Roman"/>
          <w:sz w:val="20"/>
          <w:szCs w:val="20"/>
        </w:rPr>
      </w:pPr>
      <w:r w:rsidRPr="005C2210">
        <w:rPr>
          <w:rFonts w:ascii="Times New Roman" w:hAnsi="Times New Roman" w:cs="Times New Roman"/>
          <w:sz w:val="20"/>
          <w:szCs w:val="20"/>
        </w:rPr>
        <w:t xml:space="preserve">Challenge them to consider factors that make some young adults more or less likely to participate in </w:t>
      </w:r>
      <w:proofErr w:type="spellStart"/>
      <w:r w:rsidRPr="005C2210">
        <w:rPr>
          <w:rFonts w:ascii="Times New Roman" w:hAnsi="Times New Roman" w:cs="Times New Roman"/>
          <w:sz w:val="20"/>
          <w:szCs w:val="20"/>
        </w:rPr>
        <w:t>drunkorexia</w:t>
      </w:r>
      <w:proofErr w:type="spellEnd"/>
      <w:r w:rsidRPr="005C2210">
        <w:rPr>
          <w:rFonts w:ascii="Times New Roman" w:hAnsi="Times New Roman" w:cs="Times New Roman"/>
          <w:sz w:val="20"/>
          <w:szCs w:val="20"/>
        </w:rPr>
        <w:t xml:space="preserve"> behaviors. What can college campuses do to help?</w:t>
      </w:r>
    </w:p>
    <w:p w:rsidR="00A43BF3" w:rsidRPr="005C2210" w:rsidRDefault="00A43BF3" w:rsidP="00A43BF3">
      <w:pPr>
        <w:pStyle w:val="ListParagraph"/>
        <w:numPr>
          <w:ilvl w:val="0"/>
          <w:numId w:val="2"/>
        </w:numPr>
        <w:adjustRightInd w:val="0"/>
        <w:snapToGrid w:val="0"/>
        <w:spacing w:before="120"/>
        <w:rPr>
          <w:rFonts w:ascii="Times New Roman" w:hAnsi="Times New Roman" w:cs="Times New Roman"/>
          <w:sz w:val="20"/>
          <w:szCs w:val="20"/>
        </w:rPr>
      </w:pPr>
      <w:r w:rsidRPr="005C2210">
        <w:rPr>
          <w:rFonts w:ascii="Times New Roman" w:hAnsi="Times New Roman" w:cs="Times New Roman"/>
          <w:sz w:val="20"/>
          <w:szCs w:val="20"/>
        </w:rPr>
        <w:t xml:space="preserve">Ask students whether they view </w:t>
      </w:r>
      <w:proofErr w:type="spellStart"/>
      <w:r w:rsidRPr="005C2210">
        <w:rPr>
          <w:rFonts w:ascii="Times New Roman" w:hAnsi="Times New Roman" w:cs="Times New Roman"/>
          <w:sz w:val="20"/>
          <w:szCs w:val="20"/>
        </w:rPr>
        <w:t>drunkorexia</w:t>
      </w:r>
      <w:proofErr w:type="spellEnd"/>
      <w:r w:rsidRPr="005C2210">
        <w:rPr>
          <w:rFonts w:ascii="Times New Roman" w:hAnsi="Times New Roman" w:cs="Times New Roman"/>
          <w:sz w:val="20"/>
          <w:szCs w:val="20"/>
        </w:rPr>
        <w:t xml:space="preserve"> as a problem of enough significance to warrant its own inclusion/classification in the ICD or DSM. What questions do they have about the development and validation of new disorders?</w:t>
      </w:r>
    </w:p>
    <w:p w:rsidR="00A43BF3" w:rsidRDefault="00A43BF3" w:rsidP="00A43BF3">
      <w:pPr>
        <w:adjustRightInd w:val="0"/>
        <w:snapToGrid w:val="0"/>
        <w:spacing w:before="120"/>
        <w:rPr>
          <w:sz w:val="20"/>
          <w:szCs w:val="20"/>
        </w:rPr>
      </w:pPr>
    </w:p>
    <w:p w:rsidR="00A43BF3" w:rsidRPr="00B037F6" w:rsidRDefault="00A43BF3" w:rsidP="00A43BF3">
      <w:pPr>
        <w:adjustRightInd w:val="0"/>
        <w:snapToGrid w:val="0"/>
        <w:spacing w:before="120"/>
        <w:rPr>
          <w:sz w:val="20"/>
          <w:szCs w:val="20"/>
        </w:rPr>
      </w:pPr>
    </w:p>
    <w:p w:rsidR="00A43BF3" w:rsidRPr="008D0DC8" w:rsidRDefault="00A43BF3" w:rsidP="00A43BF3">
      <w:pPr>
        <w:adjustRightInd w:val="0"/>
        <w:snapToGrid w:val="0"/>
        <w:spacing w:before="120"/>
        <w:ind w:left="720" w:hanging="720"/>
        <w:rPr>
          <w:b/>
          <w:sz w:val="20"/>
          <w:szCs w:val="20"/>
        </w:rPr>
      </w:pPr>
      <w:r w:rsidRPr="008D0DC8">
        <w:rPr>
          <w:b/>
          <w:sz w:val="20"/>
          <w:szCs w:val="20"/>
        </w:rPr>
        <w:t>Additional Resources:</w:t>
      </w:r>
    </w:p>
    <w:p w:rsidR="00A43BF3" w:rsidRDefault="00A43BF3" w:rsidP="00A43BF3">
      <w:pPr>
        <w:adjustRightInd w:val="0"/>
        <w:snapToGrid w:val="0"/>
        <w:spacing w:before="120"/>
        <w:ind w:left="720" w:hanging="720"/>
        <w:rPr>
          <w:color w:val="222222"/>
          <w:sz w:val="20"/>
          <w:szCs w:val="20"/>
          <w:shd w:val="clear" w:color="auto" w:fill="FFFFFF"/>
        </w:rPr>
      </w:pPr>
      <w:r>
        <w:rPr>
          <w:color w:val="222222"/>
          <w:sz w:val="20"/>
          <w:szCs w:val="20"/>
          <w:shd w:val="clear" w:color="auto" w:fill="FFFFFF"/>
        </w:rPr>
        <w:lastRenderedPageBreak/>
        <w:t xml:space="preserve">Kershaw, S. (2008). Starving themselves, cocktail in hand. </w:t>
      </w:r>
      <w:r w:rsidRPr="0085713C">
        <w:rPr>
          <w:i/>
          <w:color w:val="222222"/>
          <w:sz w:val="20"/>
          <w:szCs w:val="20"/>
          <w:shd w:val="clear" w:color="auto" w:fill="FFFFFF"/>
        </w:rPr>
        <w:t>New York Times</w:t>
      </w:r>
      <w:r>
        <w:rPr>
          <w:color w:val="222222"/>
          <w:sz w:val="20"/>
          <w:szCs w:val="20"/>
          <w:shd w:val="clear" w:color="auto" w:fill="FFFFFF"/>
        </w:rPr>
        <w:t xml:space="preserve">, </w:t>
      </w:r>
      <w:hyperlink r:id="rId9" w:history="1">
        <w:r w:rsidRPr="00811048">
          <w:rPr>
            <w:rStyle w:val="Hyperlink"/>
            <w:sz w:val="20"/>
            <w:szCs w:val="20"/>
            <w:shd w:val="clear" w:color="auto" w:fill="FFFFFF"/>
          </w:rPr>
          <w:t>https://www.nytimes.com/2008/03/02/fashion/02drunk.html</w:t>
        </w:r>
      </w:hyperlink>
      <w:r>
        <w:rPr>
          <w:color w:val="222222"/>
          <w:sz w:val="20"/>
          <w:szCs w:val="20"/>
          <w:shd w:val="clear" w:color="auto" w:fill="FFFFFF"/>
        </w:rPr>
        <w:t xml:space="preserve"> </w:t>
      </w:r>
    </w:p>
    <w:p w:rsidR="00A43BF3" w:rsidRPr="008D0DC8" w:rsidRDefault="00A43BF3" w:rsidP="00A43BF3">
      <w:pPr>
        <w:adjustRightInd w:val="0"/>
        <w:snapToGrid w:val="0"/>
        <w:spacing w:before="120"/>
        <w:ind w:left="720" w:hanging="720"/>
        <w:rPr>
          <w:sz w:val="20"/>
          <w:szCs w:val="20"/>
        </w:rPr>
      </w:pPr>
      <w:proofErr w:type="spellStart"/>
      <w:r w:rsidRPr="008D0DC8">
        <w:rPr>
          <w:color w:val="222222"/>
          <w:sz w:val="20"/>
          <w:szCs w:val="20"/>
          <w:shd w:val="clear" w:color="auto" w:fill="FFFFFF"/>
        </w:rPr>
        <w:t>Pompili</w:t>
      </w:r>
      <w:proofErr w:type="spellEnd"/>
      <w:r w:rsidRPr="008D0DC8">
        <w:rPr>
          <w:color w:val="222222"/>
          <w:sz w:val="20"/>
          <w:szCs w:val="20"/>
          <w:shd w:val="clear" w:color="auto" w:fill="FFFFFF"/>
        </w:rPr>
        <w:t xml:space="preserve">, S., &amp; </w:t>
      </w:r>
      <w:proofErr w:type="spellStart"/>
      <w:r w:rsidRPr="008D0DC8">
        <w:rPr>
          <w:color w:val="222222"/>
          <w:sz w:val="20"/>
          <w:szCs w:val="20"/>
          <w:shd w:val="clear" w:color="auto" w:fill="FFFFFF"/>
        </w:rPr>
        <w:t>Laghi</w:t>
      </w:r>
      <w:proofErr w:type="spellEnd"/>
      <w:r w:rsidRPr="008D0DC8">
        <w:rPr>
          <w:color w:val="222222"/>
          <w:sz w:val="20"/>
          <w:szCs w:val="20"/>
          <w:shd w:val="clear" w:color="auto" w:fill="FFFFFF"/>
        </w:rPr>
        <w:t xml:space="preserve">, F. (2020). </w:t>
      </w:r>
      <w:proofErr w:type="spellStart"/>
      <w:r w:rsidRPr="008D0DC8">
        <w:rPr>
          <w:color w:val="222222"/>
          <w:sz w:val="20"/>
          <w:szCs w:val="20"/>
          <w:shd w:val="clear" w:color="auto" w:fill="FFFFFF"/>
        </w:rPr>
        <w:t>Drunkorexia</w:t>
      </w:r>
      <w:proofErr w:type="spellEnd"/>
      <w:r w:rsidRPr="008D0DC8">
        <w:rPr>
          <w:color w:val="222222"/>
          <w:sz w:val="20"/>
          <w:szCs w:val="20"/>
          <w:shd w:val="clear" w:color="auto" w:fill="FFFFFF"/>
        </w:rPr>
        <w:t>: Disordered eating behaviors and risky alcohol consumption among adolescents. </w:t>
      </w:r>
      <w:r w:rsidRPr="008D0DC8">
        <w:rPr>
          <w:i/>
          <w:iCs/>
          <w:color w:val="222222"/>
          <w:sz w:val="20"/>
          <w:szCs w:val="20"/>
          <w:shd w:val="clear" w:color="auto" w:fill="FFFFFF"/>
        </w:rPr>
        <w:t>Journal of health psychology</w:t>
      </w:r>
      <w:r w:rsidRPr="008D0DC8">
        <w:rPr>
          <w:color w:val="222222"/>
          <w:sz w:val="20"/>
          <w:szCs w:val="20"/>
          <w:shd w:val="clear" w:color="auto" w:fill="FFFFFF"/>
        </w:rPr>
        <w:t>, </w:t>
      </w:r>
      <w:r w:rsidRPr="008D0DC8">
        <w:rPr>
          <w:i/>
          <w:iCs/>
          <w:color w:val="222222"/>
          <w:sz w:val="20"/>
          <w:szCs w:val="20"/>
          <w:shd w:val="clear" w:color="auto" w:fill="FFFFFF"/>
        </w:rPr>
        <w:t>25</w:t>
      </w:r>
      <w:r w:rsidRPr="008D0DC8">
        <w:rPr>
          <w:color w:val="222222"/>
          <w:sz w:val="20"/>
          <w:szCs w:val="20"/>
          <w:shd w:val="clear" w:color="auto" w:fill="FFFFFF"/>
        </w:rPr>
        <w:t>(13-14), 2222-2232.</w:t>
      </w:r>
    </w:p>
    <w:p w:rsidR="00A01658" w:rsidRDefault="00A01658" w:rsidP="00A43BF3">
      <w:bookmarkStart w:id="0" w:name="_GoBack"/>
      <w:bookmarkEnd w:id="0"/>
    </w:p>
    <w:sectPr w:rsidR="00A01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94786"/>
    <w:multiLevelType w:val="hybridMultilevel"/>
    <w:tmpl w:val="6272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3261C"/>
    <w:multiLevelType w:val="hybridMultilevel"/>
    <w:tmpl w:val="63F2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D2"/>
    <w:rsid w:val="00097FD2"/>
    <w:rsid w:val="00A01658"/>
    <w:rsid w:val="00A43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FF68"/>
  <w15:chartTrackingRefBased/>
  <w15:docId w15:val="{828D3DA0-A68A-4DE7-B247-4A09FE37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B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BF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43BF3"/>
    <w:rPr>
      <w:color w:val="0563C1" w:themeColor="hyperlink"/>
      <w:u w:val="single"/>
    </w:rPr>
  </w:style>
  <w:style w:type="character" w:customStyle="1" w:styleId="nlmetal">
    <w:name w:val="nlm_etal"/>
    <w:basedOn w:val="DefaultParagraphFont"/>
    <w:rsid w:val="00A43BF3"/>
  </w:style>
  <w:style w:type="character" w:customStyle="1" w:styleId="nlmyear">
    <w:name w:val="nlm_year"/>
    <w:basedOn w:val="DefaultParagraphFont"/>
    <w:rsid w:val="00A43BF3"/>
  </w:style>
  <w:style w:type="character" w:customStyle="1" w:styleId="nlmarticle-title">
    <w:name w:val="nlm_article-title"/>
    <w:basedOn w:val="DefaultParagraphFont"/>
    <w:rsid w:val="00A43BF3"/>
  </w:style>
  <w:style w:type="character" w:customStyle="1" w:styleId="nlmfpage">
    <w:name w:val="nlm_fpage"/>
    <w:basedOn w:val="DefaultParagraphFont"/>
    <w:rsid w:val="00A43BF3"/>
  </w:style>
  <w:style w:type="character" w:customStyle="1" w:styleId="nlmlpage">
    <w:name w:val="nlm_lpage"/>
    <w:basedOn w:val="DefaultParagraphFont"/>
    <w:rsid w:val="00A4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FihRyXoVBk" TargetMode="External"/><Relationship Id="rId3" Type="http://schemas.openxmlformats.org/officeDocument/2006/relationships/settings" Target="settings.xml"/><Relationship Id="rId7" Type="http://schemas.openxmlformats.org/officeDocument/2006/relationships/hyperlink" Target="https://www.youtube.com/watch?v=jaQKa0OrC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gOF4TvP-G0" TargetMode="External"/><Relationship Id="rId11" Type="http://schemas.openxmlformats.org/officeDocument/2006/relationships/theme" Target="theme/theme1.xml"/><Relationship Id="rId5" Type="http://schemas.openxmlformats.org/officeDocument/2006/relationships/hyperlink" Target="https://www.youtube.com/watch?v=rufU-DIJn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ytimes.com/2008/03/02/fashion/02drun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Company>Bloomsbury Publishing Plc</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2021-12-07T15:22:00Z</dcterms:created>
  <dcterms:modified xsi:type="dcterms:W3CDTF">2021-12-07T15:22:00Z</dcterms:modified>
</cp:coreProperties>
</file>