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6B" w:rsidRPr="00FB6D6B" w:rsidRDefault="00FB6D6B" w:rsidP="00FB6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FB6D6B">
        <w:rPr>
          <w:b/>
          <w:sz w:val="28"/>
        </w:rPr>
        <w:t xml:space="preserve">OCR ANCIENT HISTORY OPTION 1: GREECE AND PERSIA UNIT 1: </w:t>
      </w:r>
      <w:bookmarkStart w:id="0" w:name="_GoBack"/>
      <w:bookmarkEnd w:id="0"/>
    </w:p>
    <w:p w:rsidR="005D47FD" w:rsidRPr="00FB6D6B" w:rsidRDefault="00FB6D6B" w:rsidP="00FB6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FB6D6B">
        <w:rPr>
          <w:b/>
          <w:sz w:val="28"/>
        </w:rPr>
        <w:t>THE PERSIAN EMPIRE</w:t>
      </w: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7229"/>
        <w:gridCol w:w="709"/>
        <w:gridCol w:w="708"/>
        <w:gridCol w:w="709"/>
      </w:tblGrid>
      <w:tr w:rsidR="00FB6D6B" w:rsidRPr="005D47FD" w:rsidTr="00447B5F">
        <w:tc>
          <w:tcPr>
            <w:tcW w:w="1135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  <w:r w:rsidRPr="005D47FD">
              <w:rPr>
                <w:sz w:val="16"/>
                <w:szCs w:val="16"/>
              </w:rPr>
              <w:t>Key Topic</w:t>
            </w:r>
          </w:p>
        </w:tc>
        <w:tc>
          <w:tcPr>
            <w:tcW w:w="722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Key topics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Amber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</w:tr>
      <w:tr w:rsidR="00FB6D6B" w:rsidRPr="005D47FD" w:rsidTr="00447B5F">
        <w:trPr>
          <w:cantSplit/>
          <w:trHeight w:val="64"/>
        </w:trPr>
        <w:tc>
          <w:tcPr>
            <w:tcW w:w="1135" w:type="dxa"/>
            <w:vMerge w:val="restart"/>
            <w:shd w:val="clear" w:color="auto" w:fill="2E74B5" w:themeFill="accent1" w:themeFillShade="BF"/>
            <w:textDirection w:val="tbRl"/>
          </w:tcPr>
          <w:p w:rsidR="00FB6D6B" w:rsidRPr="00FB6D6B" w:rsidRDefault="00FB6D6B" w:rsidP="00FB6D6B">
            <w:pPr>
              <w:ind w:left="113" w:right="113"/>
              <w:rPr>
                <w:sz w:val="12"/>
                <w:szCs w:val="16"/>
              </w:rPr>
            </w:pPr>
            <w:r w:rsidRPr="00FB6D6B">
              <w:rPr>
                <w:sz w:val="12"/>
                <w:szCs w:val="16"/>
              </w:rPr>
              <w:t xml:space="preserve">The rise of the Persian Empire under Cyrus the Great </w:t>
            </w:r>
          </w:p>
          <w:p w:rsidR="00FB6D6B" w:rsidRPr="005D47FD" w:rsidRDefault="00FB6D6B" w:rsidP="00FB6D6B">
            <w:pPr>
              <w:ind w:left="113" w:right="113"/>
              <w:rPr>
                <w:sz w:val="16"/>
                <w:szCs w:val="16"/>
              </w:rPr>
            </w:pPr>
            <w:r w:rsidRPr="00FB6D6B">
              <w:rPr>
                <w:sz w:val="12"/>
                <w:szCs w:val="16"/>
              </w:rPr>
              <w:t>559–530 BC</w:t>
            </w:r>
          </w:p>
        </w:tc>
        <w:tc>
          <w:tcPr>
            <w:tcW w:w="7229" w:type="dxa"/>
          </w:tcPr>
          <w:p w:rsidR="00FB6D6B" w:rsidRPr="005D47FD" w:rsidRDefault="00FB6D6B" w:rsidP="00FB6D6B">
            <w:pPr>
              <w:rPr>
                <w:sz w:val="16"/>
                <w:szCs w:val="16"/>
              </w:rPr>
            </w:pPr>
            <w:r w:rsidRPr="00FB6D6B">
              <w:rPr>
                <w:rFonts w:cs="Arial"/>
                <w:sz w:val="16"/>
              </w:rPr>
              <w:t>The bac</w:t>
            </w:r>
            <w:r>
              <w:rPr>
                <w:rFonts w:cs="Arial"/>
                <w:sz w:val="16"/>
              </w:rPr>
              <w:t>kground and accession of Cyrus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58"/>
        </w:trPr>
        <w:tc>
          <w:tcPr>
            <w:tcW w:w="1135" w:type="dxa"/>
            <w:vMerge/>
            <w:shd w:val="clear" w:color="auto" w:fill="2E74B5" w:themeFill="accent1" w:themeFillShade="BF"/>
            <w:textDirection w:val="tbRl"/>
          </w:tcPr>
          <w:p w:rsidR="00FB6D6B" w:rsidRPr="005D47FD" w:rsidRDefault="00FB6D6B" w:rsidP="005D47F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229" w:type="dxa"/>
          </w:tcPr>
          <w:p w:rsidR="00FB6D6B" w:rsidRPr="006B4C77" w:rsidRDefault="00FB6D6B" w:rsidP="00FB6D6B">
            <w:pPr>
              <w:rPr>
                <w:sz w:val="16"/>
                <w:szCs w:val="16"/>
              </w:rPr>
            </w:pPr>
            <w:r w:rsidRPr="00FB6D6B">
              <w:rPr>
                <w:sz w:val="16"/>
                <w:szCs w:val="16"/>
              </w:rPr>
              <w:t>the conquest of Lydia; the conquest of Babylon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58"/>
        </w:trPr>
        <w:tc>
          <w:tcPr>
            <w:tcW w:w="1135" w:type="dxa"/>
            <w:vMerge/>
            <w:shd w:val="clear" w:color="auto" w:fill="2E74B5" w:themeFill="accent1" w:themeFillShade="BF"/>
            <w:textDirection w:val="tbRl"/>
          </w:tcPr>
          <w:p w:rsidR="00FB6D6B" w:rsidRPr="005D47FD" w:rsidRDefault="00FB6D6B" w:rsidP="005D47F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229" w:type="dxa"/>
          </w:tcPr>
          <w:p w:rsidR="00FB6D6B" w:rsidRPr="006B4C77" w:rsidRDefault="00FB6D6B" w:rsidP="00FB6D6B">
            <w:pPr>
              <w:rPr>
                <w:sz w:val="16"/>
                <w:szCs w:val="16"/>
              </w:rPr>
            </w:pPr>
            <w:r w:rsidRPr="00FB6D6B">
              <w:rPr>
                <w:sz w:val="16"/>
                <w:szCs w:val="16"/>
              </w:rPr>
              <w:t>Cyrus’ attitude towards conquered peoples and his liberation of the Jews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58"/>
        </w:trPr>
        <w:tc>
          <w:tcPr>
            <w:tcW w:w="1135" w:type="dxa"/>
            <w:vMerge/>
            <w:shd w:val="clear" w:color="auto" w:fill="2E74B5" w:themeFill="accent1" w:themeFillShade="BF"/>
            <w:textDirection w:val="tbRl"/>
          </w:tcPr>
          <w:p w:rsidR="00FB6D6B" w:rsidRPr="005D47FD" w:rsidRDefault="00FB6D6B" w:rsidP="005D47F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229" w:type="dxa"/>
          </w:tcPr>
          <w:p w:rsidR="00FB6D6B" w:rsidRPr="006B4C77" w:rsidRDefault="00FB6D6B" w:rsidP="00FB6D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construction of Pasargadae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58"/>
        </w:trPr>
        <w:tc>
          <w:tcPr>
            <w:tcW w:w="1135" w:type="dxa"/>
            <w:vMerge/>
            <w:shd w:val="clear" w:color="auto" w:fill="2E74B5" w:themeFill="accent1" w:themeFillShade="BF"/>
            <w:textDirection w:val="tbRl"/>
          </w:tcPr>
          <w:p w:rsidR="00FB6D6B" w:rsidRPr="005D47FD" w:rsidRDefault="00FB6D6B" w:rsidP="005D47F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229" w:type="dxa"/>
          </w:tcPr>
          <w:p w:rsidR="00FB6D6B" w:rsidRPr="006B4C77" w:rsidRDefault="00FB6D6B" w:rsidP="006B4C77">
            <w:pPr>
              <w:rPr>
                <w:sz w:val="16"/>
                <w:szCs w:val="16"/>
              </w:rPr>
            </w:pPr>
            <w:r w:rsidRPr="00FB6D6B">
              <w:rPr>
                <w:sz w:val="16"/>
                <w:szCs w:val="16"/>
              </w:rPr>
              <w:t>the circumstances of Cyrus’ death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127"/>
        </w:trPr>
        <w:tc>
          <w:tcPr>
            <w:tcW w:w="1135" w:type="dxa"/>
            <w:vMerge w:val="restart"/>
            <w:shd w:val="clear" w:color="auto" w:fill="9CC2E5" w:themeFill="accent1" w:themeFillTint="99"/>
            <w:textDirection w:val="tbRl"/>
          </w:tcPr>
          <w:p w:rsidR="00FB6D6B" w:rsidRPr="00FB6D6B" w:rsidRDefault="00FB6D6B" w:rsidP="00FB6D6B">
            <w:pPr>
              <w:ind w:left="113" w:right="113"/>
              <w:rPr>
                <w:sz w:val="12"/>
                <w:szCs w:val="16"/>
              </w:rPr>
            </w:pPr>
            <w:r w:rsidRPr="00FB6D6B">
              <w:rPr>
                <w:sz w:val="12"/>
                <w:szCs w:val="16"/>
              </w:rPr>
              <w:t xml:space="preserve">Cambyses II, </w:t>
            </w:r>
            <w:proofErr w:type="spellStart"/>
            <w:r w:rsidRPr="00FB6D6B">
              <w:rPr>
                <w:sz w:val="12"/>
                <w:szCs w:val="16"/>
              </w:rPr>
              <w:t>Smerdis</w:t>
            </w:r>
            <w:proofErr w:type="spellEnd"/>
            <w:r w:rsidRPr="00FB6D6B">
              <w:rPr>
                <w:sz w:val="12"/>
                <w:szCs w:val="16"/>
              </w:rPr>
              <w:t xml:space="preserve"> and the accession of Darius </w:t>
            </w:r>
          </w:p>
          <w:p w:rsidR="00FB6D6B" w:rsidRPr="005E5C65" w:rsidRDefault="00FB6D6B" w:rsidP="00FB6D6B">
            <w:pPr>
              <w:ind w:left="113" w:right="113"/>
              <w:rPr>
                <w:sz w:val="12"/>
                <w:szCs w:val="16"/>
              </w:rPr>
            </w:pPr>
            <w:r w:rsidRPr="00FB6D6B">
              <w:rPr>
                <w:sz w:val="12"/>
                <w:szCs w:val="16"/>
              </w:rPr>
              <w:t>530–522 BC</w:t>
            </w:r>
          </w:p>
        </w:tc>
        <w:tc>
          <w:tcPr>
            <w:tcW w:w="7229" w:type="dxa"/>
          </w:tcPr>
          <w:p w:rsidR="00FB6D6B" w:rsidRPr="005D47FD" w:rsidRDefault="00FB6D6B" w:rsidP="00FB6D6B">
            <w:pPr>
              <w:rPr>
                <w:sz w:val="16"/>
                <w:szCs w:val="16"/>
              </w:rPr>
            </w:pPr>
            <w:r w:rsidRPr="00FB6D6B">
              <w:rPr>
                <w:sz w:val="16"/>
                <w:szCs w:val="16"/>
              </w:rPr>
              <w:t>Cambyses’ conquest of Egypt</w:t>
            </w:r>
          </w:p>
        </w:tc>
        <w:tc>
          <w:tcPr>
            <w:tcW w:w="709" w:type="dxa"/>
          </w:tcPr>
          <w:p w:rsidR="00FB6D6B" w:rsidRPr="005D47FD" w:rsidRDefault="00FB6D6B" w:rsidP="005E5C6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 w:rsidP="005E5C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 w:rsidP="005E5C65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201"/>
        </w:trPr>
        <w:tc>
          <w:tcPr>
            <w:tcW w:w="1135" w:type="dxa"/>
            <w:vMerge/>
            <w:shd w:val="clear" w:color="auto" w:fill="9CC2E5" w:themeFill="accent1" w:themeFillTint="99"/>
            <w:textDirection w:val="tbRl"/>
          </w:tcPr>
          <w:p w:rsidR="00FB6D6B" w:rsidRPr="005E5C65" w:rsidRDefault="00FB6D6B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7229" w:type="dxa"/>
          </w:tcPr>
          <w:p w:rsidR="00FB6D6B" w:rsidRPr="005D47FD" w:rsidRDefault="00FB6D6B" w:rsidP="00FB6D6B">
            <w:pPr>
              <w:rPr>
                <w:sz w:val="16"/>
                <w:szCs w:val="16"/>
              </w:rPr>
            </w:pPr>
            <w:r w:rsidRPr="00FB6D6B">
              <w:rPr>
                <w:sz w:val="16"/>
                <w:szCs w:val="16"/>
              </w:rPr>
              <w:t>Cambyses’ attitude towards t</w:t>
            </w:r>
            <w:r>
              <w:rPr>
                <w:sz w:val="16"/>
                <w:szCs w:val="16"/>
              </w:rPr>
              <w:t>he Egyptians and their culture</w:t>
            </w:r>
          </w:p>
        </w:tc>
        <w:tc>
          <w:tcPr>
            <w:tcW w:w="709" w:type="dxa"/>
          </w:tcPr>
          <w:p w:rsidR="00FB6D6B" w:rsidRPr="005D47FD" w:rsidRDefault="00FB6D6B" w:rsidP="005E5C6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 w:rsidP="005E5C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 w:rsidP="005E5C65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133"/>
        </w:trPr>
        <w:tc>
          <w:tcPr>
            <w:tcW w:w="1135" w:type="dxa"/>
            <w:vMerge/>
            <w:shd w:val="clear" w:color="auto" w:fill="9CC2E5" w:themeFill="accent1" w:themeFillTint="99"/>
            <w:textDirection w:val="tbRl"/>
          </w:tcPr>
          <w:p w:rsidR="00FB6D6B" w:rsidRPr="005E5C65" w:rsidRDefault="00FB6D6B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7229" w:type="dxa"/>
          </w:tcPr>
          <w:p w:rsidR="00FB6D6B" w:rsidRPr="005D47FD" w:rsidRDefault="00FB6D6B" w:rsidP="00FB6D6B">
            <w:pPr>
              <w:rPr>
                <w:sz w:val="16"/>
                <w:szCs w:val="16"/>
              </w:rPr>
            </w:pPr>
            <w:r w:rsidRPr="00FB6D6B">
              <w:rPr>
                <w:sz w:val="16"/>
                <w:szCs w:val="16"/>
              </w:rPr>
              <w:t>the circums</w:t>
            </w:r>
            <w:r>
              <w:rPr>
                <w:sz w:val="16"/>
                <w:szCs w:val="16"/>
              </w:rPr>
              <w:t>tances of Cambyses’ death</w:t>
            </w:r>
          </w:p>
        </w:tc>
        <w:tc>
          <w:tcPr>
            <w:tcW w:w="709" w:type="dxa"/>
          </w:tcPr>
          <w:p w:rsidR="00FB6D6B" w:rsidRPr="005D47FD" w:rsidRDefault="00FB6D6B" w:rsidP="005E5C6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 w:rsidP="005E5C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 w:rsidP="005E5C65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207"/>
        </w:trPr>
        <w:tc>
          <w:tcPr>
            <w:tcW w:w="1135" w:type="dxa"/>
            <w:vMerge/>
            <w:shd w:val="clear" w:color="auto" w:fill="9CC2E5" w:themeFill="accent1" w:themeFillTint="99"/>
            <w:textDirection w:val="tbRl"/>
          </w:tcPr>
          <w:p w:rsidR="00FB6D6B" w:rsidRPr="005E5C65" w:rsidRDefault="00FB6D6B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7229" w:type="dxa"/>
          </w:tcPr>
          <w:p w:rsidR="00FB6D6B" w:rsidRPr="005D47FD" w:rsidRDefault="00FB6D6B" w:rsidP="005E5C65">
            <w:pPr>
              <w:rPr>
                <w:sz w:val="16"/>
                <w:szCs w:val="16"/>
              </w:rPr>
            </w:pPr>
            <w:r w:rsidRPr="00FB6D6B">
              <w:rPr>
                <w:sz w:val="16"/>
                <w:szCs w:val="16"/>
              </w:rPr>
              <w:t>Darius’ overthrow</w:t>
            </w:r>
            <w:r>
              <w:rPr>
                <w:sz w:val="16"/>
                <w:szCs w:val="16"/>
              </w:rPr>
              <w:t xml:space="preserve"> of </w:t>
            </w:r>
            <w:proofErr w:type="spellStart"/>
            <w:r>
              <w:rPr>
                <w:sz w:val="16"/>
                <w:szCs w:val="16"/>
              </w:rPr>
              <w:t>Smerdis</w:t>
            </w:r>
            <w:proofErr w:type="spellEnd"/>
            <w:r>
              <w:rPr>
                <w:sz w:val="16"/>
                <w:szCs w:val="16"/>
              </w:rPr>
              <w:t xml:space="preserve"> / </w:t>
            </w:r>
            <w:proofErr w:type="spellStart"/>
            <w:r>
              <w:rPr>
                <w:sz w:val="16"/>
                <w:szCs w:val="16"/>
              </w:rPr>
              <w:t>Bardiya</w:t>
            </w:r>
            <w:proofErr w:type="spellEnd"/>
            <w:r>
              <w:rPr>
                <w:sz w:val="16"/>
                <w:szCs w:val="16"/>
              </w:rPr>
              <w:t xml:space="preserve"> / </w:t>
            </w:r>
            <w:proofErr w:type="spellStart"/>
            <w:r>
              <w:rPr>
                <w:sz w:val="16"/>
                <w:szCs w:val="16"/>
              </w:rPr>
              <w:t>Gaumata</w:t>
            </w:r>
            <w:proofErr w:type="spellEnd"/>
          </w:p>
        </w:tc>
        <w:tc>
          <w:tcPr>
            <w:tcW w:w="709" w:type="dxa"/>
          </w:tcPr>
          <w:p w:rsidR="00FB6D6B" w:rsidRPr="005D47FD" w:rsidRDefault="00FB6D6B" w:rsidP="005E5C6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 w:rsidP="005E5C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 w:rsidP="005E5C65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57"/>
        </w:trPr>
        <w:tc>
          <w:tcPr>
            <w:tcW w:w="1135" w:type="dxa"/>
            <w:vMerge w:val="restart"/>
            <w:shd w:val="clear" w:color="auto" w:fill="BDD6EE" w:themeFill="accent1" w:themeFillTint="66"/>
            <w:textDirection w:val="tbRl"/>
          </w:tcPr>
          <w:p w:rsidR="00FB6D6B" w:rsidRPr="00FB6D6B" w:rsidRDefault="00FB6D6B" w:rsidP="00FB6D6B">
            <w:pPr>
              <w:ind w:left="113" w:right="113"/>
              <w:rPr>
                <w:sz w:val="12"/>
                <w:szCs w:val="16"/>
              </w:rPr>
            </w:pPr>
            <w:r w:rsidRPr="00FB6D6B">
              <w:rPr>
                <w:sz w:val="12"/>
                <w:szCs w:val="16"/>
              </w:rPr>
              <w:t xml:space="preserve">The reign of Darius the Great </w:t>
            </w:r>
          </w:p>
          <w:p w:rsidR="00FB6D6B" w:rsidRPr="005E5C65" w:rsidRDefault="00FB6D6B" w:rsidP="00FB6D6B">
            <w:pPr>
              <w:ind w:left="113" w:right="113"/>
              <w:rPr>
                <w:sz w:val="12"/>
                <w:szCs w:val="16"/>
              </w:rPr>
            </w:pPr>
            <w:r w:rsidRPr="00FB6D6B">
              <w:rPr>
                <w:sz w:val="12"/>
                <w:szCs w:val="16"/>
              </w:rPr>
              <w:t>522–486 BC</w:t>
            </w:r>
          </w:p>
        </w:tc>
        <w:tc>
          <w:tcPr>
            <w:tcW w:w="7229" w:type="dxa"/>
          </w:tcPr>
          <w:p w:rsidR="00FB6D6B" w:rsidRPr="005D47FD" w:rsidRDefault="00FB6D6B" w:rsidP="00FB6D6B">
            <w:pPr>
              <w:rPr>
                <w:sz w:val="16"/>
                <w:szCs w:val="16"/>
              </w:rPr>
            </w:pPr>
            <w:r w:rsidRPr="00FB6D6B">
              <w:rPr>
                <w:sz w:val="16"/>
                <w:szCs w:val="16"/>
              </w:rPr>
              <w:t>Dari</w:t>
            </w:r>
            <w:r>
              <w:rPr>
                <w:sz w:val="16"/>
                <w:szCs w:val="16"/>
              </w:rPr>
              <w:t>us’ pacification of the empire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57"/>
        </w:trPr>
        <w:tc>
          <w:tcPr>
            <w:tcW w:w="1135" w:type="dxa"/>
            <w:vMerge/>
            <w:shd w:val="clear" w:color="auto" w:fill="BDD6EE" w:themeFill="accent1" w:themeFillTint="66"/>
            <w:textDirection w:val="tbRl"/>
          </w:tcPr>
          <w:p w:rsidR="00FB6D6B" w:rsidRPr="00EA4B32" w:rsidRDefault="00FB6D6B" w:rsidP="00EA4B32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7229" w:type="dxa"/>
          </w:tcPr>
          <w:p w:rsidR="00FB6D6B" w:rsidRPr="00EA4B32" w:rsidRDefault="00FB6D6B" w:rsidP="00FB6D6B">
            <w:pPr>
              <w:rPr>
                <w:sz w:val="16"/>
                <w:szCs w:val="16"/>
              </w:rPr>
            </w:pPr>
            <w:r w:rsidRPr="00FB6D6B">
              <w:rPr>
                <w:sz w:val="16"/>
                <w:szCs w:val="16"/>
              </w:rPr>
              <w:t>including the resto</w:t>
            </w:r>
            <w:r>
              <w:rPr>
                <w:sz w:val="16"/>
                <w:szCs w:val="16"/>
              </w:rPr>
              <w:t>ration of control over Babylon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57"/>
        </w:trPr>
        <w:tc>
          <w:tcPr>
            <w:tcW w:w="1135" w:type="dxa"/>
            <w:vMerge/>
            <w:shd w:val="clear" w:color="auto" w:fill="BDD6EE" w:themeFill="accent1" w:themeFillTint="66"/>
            <w:textDirection w:val="tbRl"/>
          </w:tcPr>
          <w:p w:rsidR="00FB6D6B" w:rsidRPr="005E5C65" w:rsidRDefault="00FB6D6B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7229" w:type="dxa"/>
          </w:tcPr>
          <w:p w:rsidR="00FB6D6B" w:rsidRPr="005D47FD" w:rsidRDefault="00FB6D6B" w:rsidP="00FB6D6B">
            <w:pPr>
              <w:rPr>
                <w:sz w:val="16"/>
                <w:szCs w:val="16"/>
              </w:rPr>
            </w:pPr>
            <w:r w:rsidRPr="00FB6D6B">
              <w:rPr>
                <w:sz w:val="16"/>
                <w:szCs w:val="16"/>
              </w:rPr>
              <w:t>construction of Susa, Per</w:t>
            </w:r>
            <w:r>
              <w:rPr>
                <w:sz w:val="16"/>
                <w:szCs w:val="16"/>
              </w:rPr>
              <w:t>sepolis and the Egyptian canal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57"/>
        </w:trPr>
        <w:tc>
          <w:tcPr>
            <w:tcW w:w="1135" w:type="dxa"/>
            <w:vMerge/>
            <w:shd w:val="clear" w:color="auto" w:fill="BDD6EE" w:themeFill="accent1" w:themeFillTint="66"/>
            <w:textDirection w:val="tbRl"/>
          </w:tcPr>
          <w:p w:rsidR="00FB6D6B" w:rsidRPr="005E5C65" w:rsidRDefault="00FB6D6B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7229" w:type="dxa"/>
          </w:tcPr>
          <w:p w:rsidR="00FB6D6B" w:rsidRPr="005D47FD" w:rsidRDefault="00FB6D6B" w:rsidP="00FB6D6B">
            <w:pPr>
              <w:rPr>
                <w:sz w:val="16"/>
                <w:szCs w:val="16"/>
              </w:rPr>
            </w:pPr>
            <w:r w:rsidRPr="00FB6D6B">
              <w:rPr>
                <w:sz w:val="16"/>
                <w:szCs w:val="16"/>
              </w:rPr>
              <w:t>Persian</w:t>
            </w:r>
            <w:r>
              <w:rPr>
                <w:sz w:val="16"/>
                <w:szCs w:val="16"/>
              </w:rPr>
              <w:t xml:space="preserve"> expansion into the Aegean Sea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57"/>
        </w:trPr>
        <w:tc>
          <w:tcPr>
            <w:tcW w:w="1135" w:type="dxa"/>
            <w:vMerge/>
            <w:shd w:val="clear" w:color="auto" w:fill="BDD6EE" w:themeFill="accent1" w:themeFillTint="66"/>
            <w:textDirection w:val="tbRl"/>
          </w:tcPr>
          <w:p w:rsidR="00FB6D6B" w:rsidRPr="005E5C65" w:rsidRDefault="00FB6D6B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7229" w:type="dxa"/>
          </w:tcPr>
          <w:p w:rsidR="00FB6D6B" w:rsidRPr="00EA4B32" w:rsidRDefault="00FB6D6B" w:rsidP="00FB6D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campaign in India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57"/>
        </w:trPr>
        <w:tc>
          <w:tcPr>
            <w:tcW w:w="1135" w:type="dxa"/>
            <w:vMerge/>
            <w:shd w:val="clear" w:color="auto" w:fill="BDD6EE" w:themeFill="accent1" w:themeFillTint="66"/>
            <w:textDirection w:val="tbRl"/>
          </w:tcPr>
          <w:p w:rsidR="00FB6D6B" w:rsidRPr="005E5C65" w:rsidRDefault="00FB6D6B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7229" w:type="dxa"/>
          </w:tcPr>
          <w:p w:rsidR="00FB6D6B" w:rsidRPr="00EA4B32" w:rsidRDefault="00FB6D6B" w:rsidP="00FB6D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war with the Scythians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57"/>
        </w:trPr>
        <w:tc>
          <w:tcPr>
            <w:tcW w:w="1135" w:type="dxa"/>
            <w:vMerge/>
            <w:shd w:val="clear" w:color="auto" w:fill="BDD6EE" w:themeFill="accent1" w:themeFillTint="66"/>
            <w:textDirection w:val="tbRl"/>
          </w:tcPr>
          <w:p w:rsidR="00FB6D6B" w:rsidRPr="005E5C65" w:rsidRDefault="00FB6D6B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7229" w:type="dxa"/>
          </w:tcPr>
          <w:p w:rsidR="00FB6D6B" w:rsidRPr="005D47FD" w:rsidRDefault="00FB6D6B" w:rsidP="00FB6D6B">
            <w:pPr>
              <w:rPr>
                <w:sz w:val="16"/>
                <w:szCs w:val="16"/>
              </w:rPr>
            </w:pPr>
            <w:r w:rsidRPr="00FB6D6B">
              <w:rPr>
                <w:sz w:val="16"/>
                <w:szCs w:val="16"/>
              </w:rPr>
              <w:t>Persian cul</w:t>
            </w:r>
            <w:r>
              <w:rPr>
                <w:sz w:val="16"/>
                <w:szCs w:val="16"/>
              </w:rPr>
              <w:t>ture and religion under Darius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57"/>
        </w:trPr>
        <w:tc>
          <w:tcPr>
            <w:tcW w:w="1135" w:type="dxa"/>
            <w:vMerge/>
            <w:shd w:val="clear" w:color="auto" w:fill="BDD6EE" w:themeFill="accent1" w:themeFillTint="66"/>
            <w:textDirection w:val="tbRl"/>
          </w:tcPr>
          <w:p w:rsidR="00FB6D6B" w:rsidRPr="005E5C65" w:rsidRDefault="00FB6D6B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7229" w:type="dxa"/>
          </w:tcPr>
          <w:p w:rsidR="00FB6D6B" w:rsidRPr="00FB6D6B" w:rsidRDefault="00FB6D6B" w:rsidP="00FB6D6B">
            <w:pPr>
              <w:rPr>
                <w:sz w:val="16"/>
                <w:szCs w:val="16"/>
              </w:rPr>
            </w:pPr>
            <w:r w:rsidRPr="00FB6D6B">
              <w:rPr>
                <w:sz w:val="16"/>
                <w:szCs w:val="16"/>
              </w:rPr>
              <w:t>Darius’ organisation and administration of the</w:t>
            </w:r>
            <w:r>
              <w:rPr>
                <w:sz w:val="16"/>
                <w:szCs w:val="16"/>
              </w:rPr>
              <w:t xml:space="preserve"> Persian Empire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57"/>
        </w:trPr>
        <w:tc>
          <w:tcPr>
            <w:tcW w:w="1135" w:type="dxa"/>
            <w:vMerge/>
            <w:shd w:val="clear" w:color="auto" w:fill="BDD6EE" w:themeFill="accent1" w:themeFillTint="66"/>
            <w:textDirection w:val="tbRl"/>
          </w:tcPr>
          <w:p w:rsidR="00FB6D6B" w:rsidRPr="005E5C65" w:rsidRDefault="00FB6D6B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7229" w:type="dxa"/>
          </w:tcPr>
          <w:p w:rsidR="00FB6D6B" w:rsidRPr="00FB6D6B" w:rsidRDefault="00FB6D6B" w:rsidP="00FB6D6B">
            <w:pPr>
              <w:rPr>
                <w:sz w:val="16"/>
                <w:szCs w:val="16"/>
              </w:rPr>
            </w:pPr>
            <w:r w:rsidRPr="00FB6D6B">
              <w:rPr>
                <w:sz w:val="16"/>
                <w:szCs w:val="16"/>
              </w:rPr>
              <w:t>the Ionian Revolt, including its c</w:t>
            </w:r>
            <w:r>
              <w:rPr>
                <w:sz w:val="16"/>
                <w:szCs w:val="16"/>
              </w:rPr>
              <w:t>auses, course and consequences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57"/>
        </w:trPr>
        <w:tc>
          <w:tcPr>
            <w:tcW w:w="1135" w:type="dxa"/>
            <w:vMerge/>
            <w:shd w:val="clear" w:color="auto" w:fill="BDD6EE" w:themeFill="accent1" w:themeFillTint="66"/>
            <w:textDirection w:val="tbRl"/>
          </w:tcPr>
          <w:p w:rsidR="00FB6D6B" w:rsidRPr="005E5C65" w:rsidRDefault="00FB6D6B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7229" w:type="dxa"/>
          </w:tcPr>
          <w:p w:rsidR="00FB6D6B" w:rsidRPr="00FB6D6B" w:rsidRDefault="00FB6D6B" w:rsidP="00FB6D6B">
            <w:pPr>
              <w:rPr>
                <w:sz w:val="16"/>
                <w:szCs w:val="16"/>
              </w:rPr>
            </w:pPr>
            <w:r w:rsidRPr="00FB6D6B">
              <w:rPr>
                <w:sz w:val="16"/>
                <w:szCs w:val="16"/>
              </w:rPr>
              <w:t>Persian relations w</w:t>
            </w:r>
            <w:r>
              <w:rPr>
                <w:sz w:val="16"/>
                <w:szCs w:val="16"/>
              </w:rPr>
              <w:t>ith Athens prior to the revolt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57"/>
        </w:trPr>
        <w:tc>
          <w:tcPr>
            <w:tcW w:w="1135" w:type="dxa"/>
            <w:vMerge/>
            <w:shd w:val="clear" w:color="auto" w:fill="BDD6EE" w:themeFill="accent1" w:themeFillTint="66"/>
            <w:textDirection w:val="tbRl"/>
          </w:tcPr>
          <w:p w:rsidR="00FB6D6B" w:rsidRPr="005E5C65" w:rsidRDefault="00FB6D6B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7229" w:type="dxa"/>
          </w:tcPr>
          <w:p w:rsidR="00FB6D6B" w:rsidRPr="00FB6D6B" w:rsidRDefault="00FB6D6B" w:rsidP="00FB6D6B">
            <w:pPr>
              <w:rPr>
                <w:sz w:val="16"/>
                <w:szCs w:val="16"/>
              </w:rPr>
            </w:pPr>
            <w:proofErr w:type="spellStart"/>
            <w:r w:rsidRPr="00FB6D6B">
              <w:rPr>
                <w:sz w:val="16"/>
                <w:szCs w:val="16"/>
              </w:rPr>
              <w:t>Mardonius</w:t>
            </w:r>
            <w:proofErr w:type="spellEnd"/>
            <w:r w:rsidRPr="00FB6D6B">
              <w:rPr>
                <w:sz w:val="16"/>
                <w:szCs w:val="16"/>
              </w:rPr>
              <w:t>’ expedition of 493–492 BC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57"/>
        </w:trPr>
        <w:tc>
          <w:tcPr>
            <w:tcW w:w="1135" w:type="dxa"/>
            <w:vMerge/>
            <w:shd w:val="clear" w:color="auto" w:fill="BDD6EE" w:themeFill="accent1" w:themeFillTint="66"/>
            <w:textDirection w:val="tbRl"/>
          </w:tcPr>
          <w:p w:rsidR="00FB6D6B" w:rsidRPr="005E5C65" w:rsidRDefault="00FB6D6B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7229" w:type="dxa"/>
          </w:tcPr>
          <w:p w:rsidR="00FB6D6B" w:rsidRPr="00FB6D6B" w:rsidRDefault="00FB6D6B">
            <w:pPr>
              <w:rPr>
                <w:sz w:val="16"/>
                <w:szCs w:val="16"/>
              </w:rPr>
            </w:pPr>
            <w:r w:rsidRPr="00FB6D6B">
              <w:rPr>
                <w:sz w:val="16"/>
                <w:szCs w:val="16"/>
              </w:rPr>
              <w:t>the expedition to Gre</w:t>
            </w:r>
            <w:r>
              <w:rPr>
                <w:sz w:val="16"/>
                <w:szCs w:val="16"/>
              </w:rPr>
              <w:t>ece in 490 BC and its aftermath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100"/>
        </w:trPr>
        <w:tc>
          <w:tcPr>
            <w:tcW w:w="1135" w:type="dxa"/>
            <w:vMerge w:val="restart"/>
            <w:shd w:val="clear" w:color="auto" w:fill="00B0F0"/>
            <w:textDirection w:val="tbRl"/>
          </w:tcPr>
          <w:p w:rsidR="00FB6D6B" w:rsidRPr="00FB6D6B" w:rsidRDefault="00FB6D6B" w:rsidP="00FB6D6B">
            <w:pPr>
              <w:ind w:left="113" w:right="113"/>
              <w:rPr>
                <w:sz w:val="12"/>
                <w:szCs w:val="16"/>
              </w:rPr>
            </w:pPr>
            <w:r w:rsidRPr="00FB6D6B">
              <w:rPr>
                <w:sz w:val="12"/>
                <w:szCs w:val="16"/>
              </w:rPr>
              <w:t xml:space="preserve">Xerxes I and the Greeks </w:t>
            </w:r>
          </w:p>
          <w:p w:rsidR="00FB6D6B" w:rsidRPr="005E5C65" w:rsidRDefault="00FB6D6B" w:rsidP="00FB6D6B">
            <w:pPr>
              <w:ind w:left="113" w:right="113"/>
              <w:rPr>
                <w:sz w:val="12"/>
                <w:szCs w:val="16"/>
              </w:rPr>
            </w:pPr>
            <w:r w:rsidRPr="00FB6D6B">
              <w:rPr>
                <w:sz w:val="12"/>
                <w:szCs w:val="16"/>
              </w:rPr>
              <w:t>486–465 BC</w:t>
            </w:r>
          </w:p>
        </w:tc>
        <w:tc>
          <w:tcPr>
            <w:tcW w:w="7229" w:type="dxa"/>
          </w:tcPr>
          <w:p w:rsidR="00FB6D6B" w:rsidRPr="005D47FD" w:rsidRDefault="00447B5F" w:rsidP="00447B5F">
            <w:pPr>
              <w:rPr>
                <w:sz w:val="16"/>
                <w:szCs w:val="16"/>
              </w:rPr>
            </w:pPr>
            <w:r w:rsidRPr="00447B5F">
              <w:rPr>
                <w:sz w:val="16"/>
                <w:szCs w:val="16"/>
              </w:rPr>
              <w:t>Death of Darius and accession of Xerxes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173"/>
        </w:trPr>
        <w:tc>
          <w:tcPr>
            <w:tcW w:w="1135" w:type="dxa"/>
            <w:vMerge/>
            <w:shd w:val="clear" w:color="auto" w:fill="00B0F0"/>
            <w:textDirection w:val="tbRl"/>
          </w:tcPr>
          <w:p w:rsidR="00FB6D6B" w:rsidRPr="00EA4B32" w:rsidRDefault="00FB6D6B" w:rsidP="00EA4B32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7229" w:type="dxa"/>
          </w:tcPr>
          <w:p w:rsidR="00FB6D6B" w:rsidRPr="00D10AAB" w:rsidRDefault="00447B5F" w:rsidP="00447B5F">
            <w:pPr>
              <w:rPr>
                <w:sz w:val="16"/>
                <w:szCs w:val="16"/>
              </w:rPr>
            </w:pPr>
            <w:r w:rsidRPr="00447B5F">
              <w:rPr>
                <w:sz w:val="16"/>
                <w:szCs w:val="16"/>
              </w:rPr>
              <w:t>the suppression of revolts in Babylonia and Egypt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58"/>
        </w:trPr>
        <w:tc>
          <w:tcPr>
            <w:tcW w:w="1135" w:type="dxa"/>
            <w:vMerge/>
            <w:shd w:val="clear" w:color="auto" w:fill="00B0F0"/>
            <w:textDirection w:val="tbRl"/>
          </w:tcPr>
          <w:p w:rsidR="00FB6D6B" w:rsidRPr="00EA4B32" w:rsidRDefault="00FB6D6B" w:rsidP="00EA4B32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7229" w:type="dxa"/>
          </w:tcPr>
          <w:p w:rsidR="00FB6D6B" w:rsidRPr="00D10AAB" w:rsidRDefault="00447B5F" w:rsidP="00447B5F">
            <w:pPr>
              <w:rPr>
                <w:sz w:val="16"/>
                <w:szCs w:val="16"/>
              </w:rPr>
            </w:pPr>
            <w:r w:rsidRPr="00447B5F">
              <w:rPr>
                <w:sz w:val="16"/>
                <w:szCs w:val="16"/>
              </w:rPr>
              <w:t xml:space="preserve">the invasion of Greece, including Persian preparation, the journey to Greece, the battle of Thermopylae, the sack of Athens, the battle of Salamis; 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58"/>
        </w:trPr>
        <w:tc>
          <w:tcPr>
            <w:tcW w:w="1135" w:type="dxa"/>
            <w:vMerge/>
            <w:shd w:val="clear" w:color="auto" w:fill="00B0F0"/>
            <w:textDirection w:val="tbRl"/>
          </w:tcPr>
          <w:p w:rsidR="00FB6D6B" w:rsidRPr="00EA4B32" w:rsidRDefault="00FB6D6B" w:rsidP="00EA4B32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7229" w:type="dxa"/>
          </w:tcPr>
          <w:p w:rsidR="00FB6D6B" w:rsidRPr="00D10AAB" w:rsidRDefault="00447B5F" w:rsidP="00447B5F">
            <w:pPr>
              <w:rPr>
                <w:sz w:val="16"/>
                <w:szCs w:val="16"/>
              </w:rPr>
            </w:pPr>
            <w:r w:rsidRPr="00447B5F">
              <w:rPr>
                <w:sz w:val="16"/>
                <w:szCs w:val="16"/>
              </w:rPr>
              <w:t>Persian military organi</w:t>
            </w:r>
            <w:r>
              <w:rPr>
                <w:sz w:val="16"/>
                <w:szCs w:val="16"/>
              </w:rPr>
              <w:t>sation and fighting techniques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58"/>
        </w:trPr>
        <w:tc>
          <w:tcPr>
            <w:tcW w:w="1135" w:type="dxa"/>
            <w:vMerge/>
            <w:shd w:val="clear" w:color="auto" w:fill="00B0F0"/>
            <w:textDirection w:val="tbRl"/>
          </w:tcPr>
          <w:p w:rsidR="00FB6D6B" w:rsidRPr="00EA4B32" w:rsidRDefault="00FB6D6B" w:rsidP="00EA4B32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7229" w:type="dxa"/>
          </w:tcPr>
          <w:p w:rsidR="00FB6D6B" w:rsidRPr="00D10AAB" w:rsidRDefault="00447B5F" w:rsidP="00447B5F">
            <w:pPr>
              <w:rPr>
                <w:sz w:val="16"/>
                <w:szCs w:val="16"/>
              </w:rPr>
            </w:pPr>
            <w:r w:rsidRPr="00447B5F">
              <w:rPr>
                <w:sz w:val="16"/>
                <w:szCs w:val="16"/>
              </w:rPr>
              <w:t>the completion of Darius’ building projects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58"/>
        </w:trPr>
        <w:tc>
          <w:tcPr>
            <w:tcW w:w="1135" w:type="dxa"/>
            <w:vMerge/>
            <w:shd w:val="clear" w:color="auto" w:fill="00B0F0"/>
            <w:textDirection w:val="tbRl"/>
          </w:tcPr>
          <w:p w:rsidR="00FB6D6B" w:rsidRPr="00EA4B32" w:rsidRDefault="00FB6D6B" w:rsidP="00EA4B32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7229" w:type="dxa"/>
          </w:tcPr>
          <w:p w:rsidR="00FB6D6B" w:rsidRPr="00D10AAB" w:rsidRDefault="00447B5F" w:rsidP="00D10AAB">
            <w:pPr>
              <w:rPr>
                <w:sz w:val="16"/>
                <w:szCs w:val="16"/>
              </w:rPr>
            </w:pPr>
            <w:r w:rsidRPr="00447B5F">
              <w:rPr>
                <w:sz w:val="16"/>
                <w:szCs w:val="16"/>
              </w:rPr>
              <w:t xml:space="preserve">the Battle of </w:t>
            </w:r>
            <w:proofErr w:type="spellStart"/>
            <w:r w:rsidRPr="00447B5F">
              <w:rPr>
                <w:sz w:val="16"/>
                <w:szCs w:val="16"/>
              </w:rPr>
              <w:t>Eurymedo</w:t>
            </w:r>
            <w:r>
              <w:rPr>
                <w:sz w:val="16"/>
                <w:szCs w:val="16"/>
              </w:rPr>
              <w:t>n</w:t>
            </w:r>
            <w:proofErr w:type="spellEnd"/>
            <w:r>
              <w:rPr>
                <w:sz w:val="16"/>
                <w:szCs w:val="16"/>
              </w:rPr>
              <w:t xml:space="preserve"> and Plutarch’s ‘famous peace’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</w:tbl>
    <w:p w:rsidR="005D47FD" w:rsidRDefault="005D47FD"/>
    <w:sectPr w:rsidR="005D47FD" w:rsidSect="00EA4B32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FD"/>
    <w:rsid w:val="003A1C75"/>
    <w:rsid w:val="00447B5F"/>
    <w:rsid w:val="005D47FD"/>
    <w:rsid w:val="005E5C65"/>
    <w:rsid w:val="006B4C77"/>
    <w:rsid w:val="008D4598"/>
    <w:rsid w:val="00D10AAB"/>
    <w:rsid w:val="00E62EAD"/>
    <w:rsid w:val="00EA4B32"/>
    <w:rsid w:val="00FB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16F25"/>
  <w15:chartTrackingRefBased/>
  <w15:docId w15:val="{AA5AE001-EF78-478D-A075-3E29C751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Latimer Arts College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Paul</dc:creator>
  <cp:keywords/>
  <dc:description/>
  <cp:lastModifiedBy>Fowler, Paul</cp:lastModifiedBy>
  <cp:revision>3</cp:revision>
  <dcterms:created xsi:type="dcterms:W3CDTF">2017-09-14T12:17:00Z</dcterms:created>
  <dcterms:modified xsi:type="dcterms:W3CDTF">2017-09-14T12:29:00Z</dcterms:modified>
</cp:coreProperties>
</file>