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00" w:rsidRPr="009F2C09" w:rsidRDefault="007C4D00" w:rsidP="007B6412">
      <w:pPr>
        <w:pStyle w:val="Heading1"/>
        <w:rPr>
          <w:sz w:val="28"/>
          <w:szCs w:val="28"/>
          <w:u w:val="single"/>
        </w:rPr>
      </w:pPr>
      <w:r w:rsidRPr="001C66F7">
        <w:t>Idea 19</w:t>
      </w:r>
    </w:p>
    <w:p w:rsidR="007C4D00" w:rsidRDefault="007C4D00" w:rsidP="007B6412">
      <w:pPr>
        <w:pStyle w:val="Heading2"/>
      </w:pPr>
      <w:r>
        <w:t>Lesson plan: Mastering time estimation</w:t>
      </w:r>
    </w:p>
    <w:p w:rsidR="007B6412" w:rsidRPr="007B6412" w:rsidRDefault="007B6412" w:rsidP="007B64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391"/>
        <w:gridCol w:w="1512"/>
        <w:gridCol w:w="4251"/>
      </w:tblGrid>
      <w:tr w:rsidR="007C4D00" w:rsidTr="00867D35">
        <w:tc>
          <w:tcPr>
            <w:tcW w:w="1474" w:type="dxa"/>
          </w:tcPr>
          <w:p w:rsidR="007C4D00" w:rsidRPr="001C66F7" w:rsidRDefault="007C4D00" w:rsidP="001C66F7">
            <w:pPr>
              <w:spacing w:after="120"/>
              <w:rPr>
                <w:b/>
                <w:bCs/>
              </w:rPr>
            </w:pPr>
            <w:r w:rsidRPr="001C66F7">
              <w:rPr>
                <w:b/>
                <w:bCs/>
              </w:rPr>
              <w:t>Section</w:t>
            </w:r>
          </w:p>
        </w:tc>
        <w:tc>
          <w:tcPr>
            <w:tcW w:w="2391" w:type="dxa"/>
          </w:tcPr>
          <w:p w:rsidR="007C4D00" w:rsidRPr="001C66F7" w:rsidRDefault="007C4D00" w:rsidP="001C66F7">
            <w:pPr>
              <w:spacing w:after="120"/>
              <w:rPr>
                <w:b/>
                <w:bCs/>
              </w:rPr>
            </w:pPr>
            <w:r w:rsidRPr="001C66F7">
              <w:rPr>
                <w:b/>
                <w:bCs/>
              </w:rPr>
              <w:t>Activity</w:t>
            </w:r>
          </w:p>
        </w:tc>
        <w:tc>
          <w:tcPr>
            <w:tcW w:w="1512" w:type="dxa"/>
          </w:tcPr>
          <w:p w:rsidR="007C4D00" w:rsidRPr="001C66F7" w:rsidRDefault="007C4D00" w:rsidP="001C66F7">
            <w:pPr>
              <w:spacing w:after="120"/>
              <w:rPr>
                <w:b/>
                <w:bCs/>
              </w:rPr>
            </w:pPr>
            <w:r w:rsidRPr="001C66F7">
              <w:rPr>
                <w:b/>
                <w:bCs/>
              </w:rPr>
              <w:t>Objective</w:t>
            </w:r>
          </w:p>
        </w:tc>
        <w:tc>
          <w:tcPr>
            <w:tcW w:w="4251" w:type="dxa"/>
          </w:tcPr>
          <w:p w:rsidR="007C4D00" w:rsidRPr="001C66F7" w:rsidRDefault="007C4D00" w:rsidP="001C66F7">
            <w:pPr>
              <w:spacing w:after="120"/>
              <w:rPr>
                <w:b/>
                <w:bCs/>
              </w:rPr>
            </w:pPr>
            <w:r w:rsidRPr="001C66F7">
              <w:rPr>
                <w:b/>
                <w:bCs/>
              </w:rPr>
              <w:t xml:space="preserve">Notes for the </w:t>
            </w:r>
            <w:r>
              <w:rPr>
                <w:b/>
                <w:bCs/>
              </w:rPr>
              <w:t>t</w:t>
            </w:r>
            <w:r w:rsidRPr="001C66F7">
              <w:rPr>
                <w:b/>
                <w:bCs/>
              </w:rPr>
              <w:t>eacher</w:t>
            </w:r>
          </w:p>
        </w:tc>
      </w:tr>
      <w:tr w:rsidR="007C4D00" w:rsidTr="00867D35">
        <w:tc>
          <w:tcPr>
            <w:tcW w:w="1474" w:type="dxa"/>
          </w:tcPr>
          <w:p w:rsidR="007C4D00" w:rsidRDefault="007C4D00" w:rsidP="001C66F7">
            <w:pPr>
              <w:spacing w:after="120"/>
            </w:pPr>
            <w:r>
              <w:t>Introduction (10 minutes)</w:t>
            </w:r>
          </w:p>
        </w:tc>
        <w:tc>
          <w:tcPr>
            <w:tcW w:w="2391" w:type="dxa"/>
          </w:tcPr>
          <w:p w:rsidR="007C4D00" w:rsidRDefault="007C4D00" w:rsidP="001C66F7">
            <w:pPr>
              <w:spacing w:after="120"/>
            </w:pPr>
            <w:r>
              <w:t>A brief discussion about time – how it is measured, its importance, etc.</w:t>
            </w:r>
          </w:p>
        </w:tc>
        <w:tc>
          <w:tcPr>
            <w:tcW w:w="1512" w:type="dxa"/>
          </w:tcPr>
          <w:p w:rsidR="007C4D00" w:rsidRDefault="007C4D00" w:rsidP="001C66F7">
            <w:pPr>
              <w:spacing w:after="120"/>
            </w:pPr>
            <w:r>
              <w:t>Set the stage for the topic of time estimation.</w:t>
            </w:r>
          </w:p>
        </w:tc>
        <w:tc>
          <w:tcPr>
            <w:tcW w:w="4251" w:type="dxa"/>
          </w:tcPr>
          <w:p w:rsidR="007C4D00" w:rsidRDefault="007C4D00" w:rsidP="001C66F7">
            <w:pPr>
              <w:spacing w:after="120"/>
            </w:pPr>
            <w:r>
              <w:t>Introduce the concept of time perception and estimation. Use questions to gauge students' initial thoughts and awareness.</w:t>
            </w:r>
          </w:p>
          <w:p w:rsidR="007C4D00" w:rsidRDefault="007C4D00" w:rsidP="001C66F7">
            <w:pPr>
              <w:spacing w:after="120"/>
            </w:pPr>
            <w:r>
              <w:t xml:space="preserve">Create a ‘safe space’ environment that encourages students to be kind and supportive – as part of neurodiversity awareness and different brains having different strengths and challenges. </w:t>
            </w:r>
          </w:p>
        </w:tc>
      </w:tr>
      <w:tr w:rsidR="007C4D00" w:rsidTr="00867D35">
        <w:tc>
          <w:tcPr>
            <w:tcW w:w="1474" w:type="dxa"/>
          </w:tcPr>
          <w:p w:rsidR="007C4D00" w:rsidRDefault="007C4D00" w:rsidP="001C66F7">
            <w:pPr>
              <w:spacing w:after="120"/>
            </w:pPr>
            <w:r>
              <w:t>Estimation station (20 minutes)</w:t>
            </w:r>
          </w:p>
        </w:tc>
        <w:tc>
          <w:tcPr>
            <w:tcW w:w="2391" w:type="dxa"/>
          </w:tcPr>
          <w:p w:rsidR="007C4D00" w:rsidRDefault="007C4D00" w:rsidP="001C66F7">
            <w:pPr>
              <w:spacing w:after="120"/>
            </w:pPr>
            <w:r>
              <w:t>Students carry out a number of everyday activities in pairs, with one person doing the activity and the other timing them (e.g. tying a shoelace, writing their names a number of times, time it takes to walk from one point to another, etc.). The student who carried out the activity then estimates how long it took, without looking at the clock.</w:t>
            </w:r>
          </w:p>
        </w:tc>
        <w:tc>
          <w:tcPr>
            <w:tcW w:w="1512" w:type="dxa"/>
          </w:tcPr>
          <w:p w:rsidR="007C4D00" w:rsidRDefault="007C4D00" w:rsidP="001C66F7">
            <w:pPr>
              <w:spacing w:after="120"/>
            </w:pPr>
            <w:r>
              <w:t>Understand students’ initial ability to estimate time.</w:t>
            </w:r>
          </w:p>
        </w:tc>
        <w:tc>
          <w:tcPr>
            <w:tcW w:w="4251" w:type="dxa"/>
          </w:tcPr>
          <w:p w:rsidR="007C4D00" w:rsidRDefault="007C4D00" w:rsidP="001C66F7">
            <w:pPr>
              <w:spacing w:after="120"/>
            </w:pPr>
            <w:r>
              <w:t>Record each student’s estimation and the actual time taken. Make the activity competitive to add a fun element (use tokens or stickers as rewards).</w:t>
            </w:r>
          </w:p>
        </w:tc>
      </w:tr>
      <w:tr w:rsidR="007C4D00" w:rsidTr="00867D35">
        <w:tc>
          <w:tcPr>
            <w:tcW w:w="1474" w:type="dxa"/>
          </w:tcPr>
          <w:p w:rsidR="007C4D00" w:rsidRDefault="007C4D00" w:rsidP="001C66F7">
            <w:pPr>
              <w:spacing w:after="120"/>
            </w:pPr>
            <w:r>
              <w:t>Time trials (15 minutes)</w:t>
            </w:r>
          </w:p>
        </w:tc>
        <w:tc>
          <w:tcPr>
            <w:tcW w:w="2391" w:type="dxa"/>
          </w:tcPr>
          <w:p w:rsidR="007C4D00" w:rsidRDefault="007C4D00" w:rsidP="001C66F7">
            <w:pPr>
              <w:spacing w:after="120"/>
            </w:pPr>
            <w:r>
              <w:t>Various stations with different tasks that take a specific amount of time to complete. Students estimate the time before starting.</w:t>
            </w:r>
          </w:p>
        </w:tc>
        <w:tc>
          <w:tcPr>
            <w:tcW w:w="1512" w:type="dxa"/>
          </w:tcPr>
          <w:p w:rsidR="007C4D00" w:rsidRDefault="007C4D00" w:rsidP="001C66F7">
            <w:pPr>
              <w:spacing w:after="120"/>
            </w:pPr>
            <w:r>
              <w:t>Provide hands-on experience in time estimation and build awareness of personal time perception.</w:t>
            </w:r>
            <w:bookmarkStart w:id="0" w:name="_GoBack"/>
            <w:bookmarkEnd w:id="0"/>
          </w:p>
        </w:tc>
        <w:tc>
          <w:tcPr>
            <w:tcW w:w="4251" w:type="dxa"/>
          </w:tcPr>
          <w:p w:rsidR="00867D35" w:rsidRDefault="007C4D00" w:rsidP="001C66F7">
            <w:pPr>
              <w:spacing w:after="120"/>
            </w:pPr>
            <w:r>
              <w:t>Offer guidance and encouragement. This is not just a game but a learning experience. Ensure the tasks are age-appropriate and safe.</w:t>
            </w:r>
          </w:p>
          <w:p w:rsidR="00867D35" w:rsidRPr="00867D35" w:rsidRDefault="00867D35" w:rsidP="00867D35"/>
          <w:p w:rsidR="00867D35" w:rsidRPr="00867D35" w:rsidRDefault="00867D35" w:rsidP="00867D35"/>
          <w:p w:rsidR="00867D35" w:rsidRPr="00867D35" w:rsidRDefault="00867D35" w:rsidP="00867D35"/>
          <w:p w:rsidR="00867D35" w:rsidRDefault="00867D35" w:rsidP="00867D35"/>
          <w:p w:rsidR="007C4D00" w:rsidRPr="00867D35" w:rsidRDefault="007C4D00" w:rsidP="00867D35"/>
        </w:tc>
      </w:tr>
      <w:tr w:rsidR="00867D35" w:rsidTr="00867D35">
        <w:tc>
          <w:tcPr>
            <w:tcW w:w="1474" w:type="dxa"/>
          </w:tcPr>
          <w:p w:rsidR="00867D35" w:rsidRPr="001C66F7" w:rsidRDefault="00867D35" w:rsidP="00867D35">
            <w:pPr>
              <w:spacing w:after="120"/>
              <w:rPr>
                <w:b/>
                <w:bCs/>
              </w:rPr>
            </w:pPr>
            <w:r w:rsidRPr="001C66F7">
              <w:rPr>
                <w:b/>
                <w:bCs/>
              </w:rPr>
              <w:lastRenderedPageBreak/>
              <w:t>Section</w:t>
            </w:r>
          </w:p>
        </w:tc>
        <w:tc>
          <w:tcPr>
            <w:tcW w:w="2391" w:type="dxa"/>
          </w:tcPr>
          <w:p w:rsidR="00867D35" w:rsidRPr="001C66F7" w:rsidRDefault="00867D35" w:rsidP="00867D35">
            <w:pPr>
              <w:spacing w:after="120"/>
              <w:rPr>
                <w:b/>
                <w:bCs/>
              </w:rPr>
            </w:pPr>
            <w:r w:rsidRPr="001C66F7">
              <w:rPr>
                <w:b/>
                <w:bCs/>
              </w:rPr>
              <w:t>Activity</w:t>
            </w:r>
          </w:p>
        </w:tc>
        <w:tc>
          <w:tcPr>
            <w:tcW w:w="1512" w:type="dxa"/>
          </w:tcPr>
          <w:p w:rsidR="00867D35" w:rsidRPr="001C66F7" w:rsidRDefault="00867D35" w:rsidP="00867D35">
            <w:pPr>
              <w:spacing w:after="120"/>
              <w:rPr>
                <w:b/>
                <w:bCs/>
              </w:rPr>
            </w:pPr>
            <w:r w:rsidRPr="001C66F7">
              <w:rPr>
                <w:b/>
                <w:bCs/>
              </w:rPr>
              <w:t>Objective</w:t>
            </w:r>
          </w:p>
        </w:tc>
        <w:tc>
          <w:tcPr>
            <w:tcW w:w="4251" w:type="dxa"/>
          </w:tcPr>
          <w:p w:rsidR="00867D35" w:rsidRPr="001C66F7" w:rsidRDefault="00867D35" w:rsidP="00867D35">
            <w:pPr>
              <w:spacing w:after="120"/>
              <w:rPr>
                <w:b/>
                <w:bCs/>
              </w:rPr>
            </w:pPr>
            <w:r w:rsidRPr="001C66F7">
              <w:rPr>
                <w:b/>
                <w:bCs/>
              </w:rPr>
              <w:t xml:space="preserve">Notes for the </w:t>
            </w:r>
            <w:r>
              <w:rPr>
                <w:b/>
                <w:bCs/>
              </w:rPr>
              <w:t>t</w:t>
            </w:r>
            <w:r w:rsidRPr="001C66F7">
              <w:rPr>
                <w:b/>
                <w:bCs/>
              </w:rPr>
              <w:t>eacher</w:t>
            </w:r>
          </w:p>
        </w:tc>
      </w:tr>
      <w:tr w:rsidR="007C4D00" w:rsidTr="00867D35">
        <w:tc>
          <w:tcPr>
            <w:tcW w:w="1474" w:type="dxa"/>
          </w:tcPr>
          <w:p w:rsidR="007C4D00" w:rsidRDefault="007C4D00" w:rsidP="001C66F7">
            <w:pPr>
              <w:spacing w:after="120"/>
            </w:pPr>
            <w:r>
              <w:t>Reflection round table (10 minutes)</w:t>
            </w:r>
          </w:p>
        </w:tc>
        <w:tc>
          <w:tcPr>
            <w:tcW w:w="2391" w:type="dxa"/>
          </w:tcPr>
          <w:p w:rsidR="007C4D00" w:rsidRDefault="007C4D00" w:rsidP="001C66F7">
            <w:pPr>
              <w:spacing w:after="120"/>
            </w:pPr>
            <w:r>
              <w:t>Students share their experiences – challenges and surprises encountered during the time trials.</w:t>
            </w:r>
          </w:p>
        </w:tc>
        <w:tc>
          <w:tcPr>
            <w:tcW w:w="1512" w:type="dxa"/>
          </w:tcPr>
          <w:p w:rsidR="007C4D00" w:rsidRDefault="007C4D00" w:rsidP="001C66F7">
            <w:pPr>
              <w:spacing w:after="120"/>
            </w:pPr>
            <w:r>
              <w:t>Promote reflection and discussion about individual time perception and its variability among peers.</w:t>
            </w:r>
          </w:p>
        </w:tc>
        <w:tc>
          <w:tcPr>
            <w:tcW w:w="4251" w:type="dxa"/>
          </w:tcPr>
          <w:p w:rsidR="007C4D00" w:rsidRDefault="007C4D00" w:rsidP="001C66F7">
            <w:pPr>
              <w:spacing w:after="120"/>
            </w:pPr>
            <w:r>
              <w:t>Foster an environment of respect and empathy. Highlight that it’s okay to have different time perceptions and that understanding this helps in teamwork and communication.</w:t>
            </w:r>
          </w:p>
        </w:tc>
      </w:tr>
      <w:tr w:rsidR="007C4D00" w:rsidTr="00867D35">
        <w:tc>
          <w:tcPr>
            <w:tcW w:w="1474" w:type="dxa"/>
          </w:tcPr>
          <w:p w:rsidR="007C4D00" w:rsidRDefault="007C4D00" w:rsidP="001C66F7">
            <w:pPr>
              <w:spacing w:after="120"/>
            </w:pPr>
            <w:r>
              <w:t>Wrapping up (5 minutes)</w:t>
            </w:r>
          </w:p>
        </w:tc>
        <w:tc>
          <w:tcPr>
            <w:tcW w:w="2391" w:type="dxa"/>
          </w:tcPr>
          <w:p w:rsidR="007C4D00" w:rsidRDefault="007C4D00" w:rsidP="001C66F7">
            <w:pPr>
              <w:spacing w:after="120"/>
            </w:pPr>
            <w:proofErr w:type="spellStart"/>
            <w:r>
              <w:t>Summarise</w:t>
            </w:r>
            <w:proofErr w:type="spellEnd"/>
            <w:r>
              <w:t xml:space="preserve"> key learnings. Each student writes down one thing they learned about their time perception and one thing they learned about a peer’s.</w:t>
            </w:r>
          </w:p>
        </w:tc>
        <w:tc>
          <w:tcPr>
            <w:tcW w:w="1512" w:type="dxa"/>
          </w:tcPr>
          <w:p w:rsidR="007C4D00" w:rsidRDefault="007C4D00" w:rsidP="001C66F7">
            <w:pPr>
              <w:spacing w:after="120"/>
            </w:pPr>
            <w:r>
              <w:t>Reinforce learnings and cultivate empathy.</w:t>
            </w:r>
          </w:p>
        </w:tc>
        <w:tc>
          <w:tcPr>
            <w:tcW w:w="4251" w:type="dxa"/>
          </w:tcPr>
          <w:p w:rsidR="007C4D00" w:rsidRDefault="007C4D00" w:rsidP="001C66F7">
            <w:pPr>
              <w:spacing w:after="120"/>
            </w:pPr>
            <w:proofErr w:type="spellStart"/>
            <w:r>
              <w:t>Emphasise</w:t>
            </w:r>
            <w:proofErr w:type="spellEnd"/>
            <w:r>
              <w:t xml:space="preserve"> that the goal is not to be perfect but to understand and improve. Commend students for their participation and discoveries.</w:t>
            </w:r>
          </w:p>
        </w:tc>
      </w:tr>
    </w:tbl>
    <w:p w:rsidR="007C4D00" w:rsidRDefault="007C4D00" w:rsidP="007C4D00">
      <w:pPr>
        <w:spacing w:after="120"/>
      </w:pPr>
    </w:p>
    <w:p w:rsidR="007C4D00" w:rsidRDefault="007C4D00" w:rsidP="007C4D00">
      <w:pPr>
        <w:pStyle w:val="Body"/>
        <w:spacing w:after="120"/>
      </w:pPr>
    </w:p>
    <w:p w:rsidR="00772514" w:rsidRDefault="00867D35"/>
    <w:sectPr w:rsidR="00772514">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EC" w:rsidRDefault="007B6412">
      <w:r>
        <w:separator/>
      </w:r>
    </w:p>
  </w:endnote>
  <w:endnote w:type="continuationSeparator" w:id="0">
    <w:p w:rsidR="00E245EC" w:rsidRDefault="007B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499" w:rsidRDefault="000A7499" w:rsidP="000A7499">
    <w:pPr>
      <w:pStyle w:val="Footer"/>
      <w:jc w:val="right"/>
    </w:pPr>
    <w:r>
      <w:t xml:space="preserve">© Jannine Perryman, 2024 </w:t>
    </w:r>
  </w:p>
  <w:p w:rsidR="000A7499" w:rsidRDefault="000A7499" w:rsidP="000A7499">
    <w:pPr>
      <w:pStyle w:val="Footer"/>
    </w:pPr>
  </w:p>
  <w:p w:rsidR="000A7499" w:rsidRDefault="000A7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EC" w:rsidRDefault="007B6412">
      <w:r>
        <w:separator/>
      </w:r>
    </w:p>
  </w:footnote>
  <w:footnote w:type="continuationSeparator" w:id="0">
    <w:p w:rsidR="00E245EC" w:rsidRDefault="007B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499" w:rsidRDefault="000A7499" w:rsidP="000A7499">
    <w:pPr>
      <w:pStyle w:val="Header"/>
      <w:jc w:val="right"/>
    </w:pPr>
    <w:r>
      <w:rPr>
        <w:noProof/>
        <w:lang w:val="en-GB" w:eastAsia="en-GB"/>
      </w:rPr>
      <w:drawing>
        <wp:inline distT="0" distB="0" distL="0" distR="0">
          <wp:extent cx="3130550" cy="647700"/>
          <wp:effectExtent l="0" t="0" r="0" b="0"/>
          <wp:docPr id="1" name="Picture 1" descr="C:\Users\EBadger\AppData\Local\Microsoft\Windows\INetCache\Content.Word\100 Ideas ADH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dger\AppData\Local\Microsoft\Windows\INetCache\Content.Word\100 Ideas ADHD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0" cy="647700"/>
                  </a:xfrm>
                  <a:prstGeom prst="rect">
                    <a:avLst/>
                  </a:prstGeom>
                  <a:noFill/>
                  <a:ln>
                    <a:noFill/>
                  </a:ln>
                </pic:spPr>
              </pic:pic>
            </a:graphicData>
          </a:graphic>
        </wp:inline>
      </w:drawing>
    </w:r>
  </w:p>
  <w:p w:rsidR="00824165" w:rsidRDefault="00867D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00"/>
    <w:rsid w:val="000A7499"/>
    <w:rsid w:val="006D2F30"/>
    <w:rsid w:val="007B6412"/>
    <w:rsid w:val="007C4D00"/>
    <w:rsid w:val="00867D35"/>
    <w:rsid w:val="00B64C27"/>
    <w:rsid w:val="00E245EC"/>
    <w:rsid w:val="00FF5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DA29A"/>
  <w15:chartTrackingRefBased/>
  <w15:docId w15:val="{D4E0D8C8-4761-4230-A340-32E508CA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4D00"/>
    <w:pPr>
      <w:pBdr>
        <w:top w:val="nil"/>
        <w:left w:val="nil"/>
        <w:bottom w:val="nil"/>
        <w:right w:val="nil"/>
        <w:between w:val="nil"/>
        <w:bar w:val="nil"/>
      </w:pBdr>
      <w:spacing w:after="0" w:line="240" w:lineRule="auto"/>
    </w:pPr>
    <w:rPr>
      <w:rFonts w:ascii="Calibri" w:eastAsia="Arial Unicode MS" w:hAnsi="Calibri" w:cs="Times New Roman"/>
      <w:sz w:val="24"/>
      <w:szCs w:val="24"/>
      <w:bdr w:val="nil"/>
      <w:lang w:val="en-US"/>
    </w:rPr>
  </w:style>
  <w:style w:type="paragraph" w:styleId="Heading1">
    <w:name w:val="heading 1"/>
    <w:basedOn w:val="Normal"/>
    <w:next w:val="Normal"/>
    <w:link w:val="Heading1Char"/>
    <w:uiPriority w:val="9"/>
    <w:qFormat/>
    <w:rsid w:val="007B64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641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C4D0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7C4D00"/>
    <w:rPr>
      <w:sz w:val="16"/>
      <w:szCs w:val="16"/>
    </w:rPr>
  </w:style>
  <w:style w:type="paragraph" w:styleId="CommentText">
    <w:name w:val="annotation text"/>
    <w:basedOn w:val="Normal"/>
    <w:link w:val="CommentTextChar"/>
    <w:uiPriority w:val="99"/>
    <w:unhideWhenUsed/>
    <w:rsid w:val="007C4D00"/>
    <w:rPr>
      <w:sz w:val="20"/>
      <w:szCs w:val="20"/>
    </w:rPr>
  </w:style>
  <w:style w:type="character" w:customStyle="1" w:styleId="CommentTextChar">
    <w:name w:val="Comment Text Char"/>
    <w:basedOn w:val="DefaultParagraphFont"/>
    <w:link w:val="CommentText"/>
    <w:uiPriority w:val="99"/>
    <w:rsid w:val="007C4D00"/>
    <w:rPr>
      <w:rFonts w:ascii="Calibri" w:eastAsia="Arial Unicode MS" w:hAnsi="Calibri" w:cs="Times New Roman"/>
      <w:sz w:val="20"/>
      <w:szCs w:val="20"/>
      <w:bdr w:val="nil"/>
      <w:lang w:val="en-US"/>
    </w:rPr>
  </w:style>
  <w:style w:type="paragraph" w:styleId="BalloonText">
    <w:name w:val="Balloon Text"/>
    <w:basedOn w:val="Normal"/>
    <w:link w:val="BalloonTextChar"/>
    <w:uiPriority w:val="99"/>
    <w:semiHidden/>
    <w:unhideWhenUsed/>
    <w:rsid w:val="007C4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D00"/>
    <w:rPr>
      <w:rFonts w:ascii="Segoe UI" w:eastAsia="Arial Unicode MS" w:hAnsi="Segoe UI" w:cs="Segoe UI"/>
      <w:sz w:val="18"/>
      <w:szCs w:val="18"/>
      <w:bdr w:val="nil"/>
      <w:lang w:val="en-US"/>
    </w:rPr>
  </w:style>
  <w:style w:type="character" w:customStyle="1" w:styleId="Heading1Char">
    <w:name w:val="Heading 1 Char"/>
    <w:basedOn w:val="DefaultParagraphFont"/>
    <w:link w:val="Heading1"/>
    <w:uiPriority w:val="9"/>
    <w:rsid w:val="007B6412"/>
    <w:rPr>
      <w:rFonts w:asciiTheme="majorHAnsi" w:eastAsiaTheme="majorEastAsia" w:hAnsiTheme="majorHAnsi" w:cstheme="majorBidi"/>
      <w:color w:val="2E74B5" w:themeColor="accent1" w:themeShade="BF"/>
      <w:sz w:val="32"/>
      <w:szCs w:val="32"/>
      <w:bdr w:val="nil"/>
      <w:lang w:val="en-US"/>
    </w:rPr>
  </w:style>
  <w:style w:type="character" w:customStyle="1" w:styleId="Heading2Char">
    <w:name w:val="Heading 2 Char"/>
    <w:basedOn w:val="DefaultParagraphFont"/>
    <w:link w:val="Heading2"/>
    <w:uiPriority w:val="9"/>
    <w:rsid w:val="007B6412"/>
    <w:rPr>
      <w:rFonts w:asciiTheme="majorHAnsi" w:eastAsiaTheme="majorEastAsia" w:hAnsiTheme="majorHAnsi" w:cstheme="majorBidi"/>
      <w:color w:val="2E74B5" w:themeColor="accent1" w:themeShade="BF"/>
      <w:sz w:val="26"/>
      <w:szCs w:val="26"/>
      <w:bdr w:val="nil"/>
      <w:lang w:val="en-US"/>
    </w:rPr>
  </w:style>
  <w:style w:type="paragraph" w:styleId="Header">
    <w:name w:val="header"/>
    <w:basedOn w:val="Normal"/>
    <w:link w:val="HeaderChar"/>
    <w:uiPriority w:val="99"/>
    <w:unhideWhenUsed/>
    <w:rsid w:val="000A7499"/>
    <w:pPr>
      <w:tabs>
        <w:tab w:val="center" w:pos="4513"/>
        <w:tab w:val="right" w:pos="9026"/>
      </w:tabs>
    </w:pPr>
  </w:style>
  <w:style w:type="character" w:customStyle="1" w:styleId="HeaderChar">
    <w:name w:val="Header Char"/>
    <w:basedOn w:val="DefaultParagraphFont"/>
    <w:link w:val="Header"/>
    <w:uiPriority w:val="99"/>
    <w:rsid w:val="000A7499"/>
    <w:rPr>
      <w:rFonts w:ascii="Calibri" w:eastAsia="Arial Unicode MS" w:hAnsi="Calibri" w:cs="Times New Roman"/>
      <w:sz w:val="24"/>
      <w:szCs w:val="24"/>
      <w:bdr w:val="nil"/>
      <w:lang w:val="en-US"/>
    </w:rPr>
  </w:style>
  <w:style w:type="paragraph" w:styleId="Footer">
    <w:name w:val="footer"/>
    <w:basedOn w:val="Normal"/>
    <w:link w:val="FooterChar"/>
    <w:uiPriority w:val="99"/>
    <w:unhideWhenUsed/>
    <w:rsid w:val="000A7499"/>
    <w:pPr>
      <w:tabs>
        <w:tab w:val="center" w:pos="4513"/>
        <w:tab w:val="right" w:pos="9026"/>
      </w:tabs>
    </w:pPr>
  </w:style>
  <w:style w:type="character" w:customStyle="1" w:styleId="FooterChar">
    <w:name w:val="Footer Char"/>
    <w:basedOn w:val="DefaultParagraphFont"/>
    <w:link w:val="Footer"/>
    <w:uiPriority w:val="99"/>
    <w:rsid w:val="000A7499"/>
    <w:rPr>
      <w:rFonts w:ascii="Calibri" w:eastAsia="Arial Unicode MS" w:hAnsi="Calibri"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0</DocSecurity>
  <Lines>16</Lines>
  <Paragraphs>4</Paragraphs>
  <ScaleCrop>false</ScaleCrop>
  <Company>Bloomsbury Publishing Plc</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Badger</dc:creator>
  <cp:keywords/>
  <dc:description/>
  <cp:lastModifiedBy>Emily Badger</cp:lastModifiedBy>
  <cp:revision>4</cp:revision>
  <dcterms:created xsi:type="dcterms:W3CDTF">2024-01-16T18:21:00Z</dcterms:created>
  <dcterms:modified xsi:type="dcterms:W3CDTF">2024-03-20T12:54:00Z</dcterms:modified>
</cp:coreProperties>
</file>