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80" w:line="240" w:lineRule="auto"/>
      </w:pPr>
      <w:r>
        <w:rPr>
          <w:rFonts w:ascii="Calibri" w:hAnsi="Calibri"/>
          <w:sz w:val="34"/>
          <w:b/>
        </w:rPr>
        <w:t xml:space="preserve">Student follow-up record</w:t>
      </w:r>
    </w:p>
    <w:p>
      <w:pPr>
        <w:spacing w:after="100" w:line="240" w:lineRule="auto"/>
      </w:pPr>
      <w:r>
        <w:rPr>
          <w:rFonts w:ascii="Calibri" w:hAnsi="Calibri"/>
          <w:sz w:val="20"/>
        </w:rPr>
        <w:t xml:space="preserve">For an ordinary teaching concern. Keep the record in the school’s approved location. Replace the blank spaces with actual observations and agreed actions.</w:t>
      </w:r>
    </w:p>
    <w:tbl>
      <w:tblPr>
        <w:tblW w:w="15400" w:type="dxa"/>
        <w:tblLayout w:type="fixed"/>
        <w:tblBorders>
          <w:top w:val="single" w:sz="4" w:color="B7B1A8"/>
          <w:left w:val="single" w:sz="4" w:color="B7B1A8"/>
          <w:bottom w:val="single" w:sz="4" w:color="B7B1A8"/>
          <w:right w:val="single" w:sz="4" w:color="B7B1A8"/>
          <w:insideH w:val="single" w:sz="4" w:color="B7B1A8"/>
          <w:insideV w:val="single" w:sz="4" w:color="B7B1A8"/>
        </w:tblBorders>
        <w:tblCellMar>
          <w:top w:w="95" w:type="dxa"/>
          <w:left w:w="115" w:type="dxa"/>
          <w:bottom w:w="95" w:type="dxa"/>
          <w:right w:w="115" w:type="dxa"/>
        </w:tblCellMar>
      </w:tblPr>
      <w:tblGrid>
        <w:gridCol w:w="2300"/>
        <w:gridCol w:w="13100"/>
      </w:tblGrid>
      <w:tr>
        <w:trPr>
          <w:trHeight w:val="460" w:hRule="atLeast"/>
          <w:cantSplit/>
        </w:trPr>
        <w:tc>
          <w:tcPr>
            <w:tcW w:w="2300" w:type="dxa"/>
            <w:vAlign w:val="top"/>
            <w:shd w:val="clear" w:fill="F2F0EC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  <w:b/>
              </w:rPr>
              <w:t xml:space="preserve">Student / instrument / date</w:t>
            </w:r>
          </w:p>
        </w:tc>
        <w:tc>
          <w:tcPr>
            <w:tcW w:w="1310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>Student reference:                              Instrument:                              Opened:</w:t>
            </w:r>
          </w:p>
        </w:tc>
      </w:tr>
      <w:tr>
        <w:trPr>
          <w:trHeight w:val="850" w:hRule="atLeast"/>
          <w:cantSplit/>
        </w:trPr>
        <w:tc>
          <w:tcPr>
            <w:tcW w:w="2300" w:type="dxa"/>
            <w:vAlign w:val="top"/>
            <w:shd w:val="clear" w:fill="F2F0EC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  <w:b/>
              </w:rPr>
              <w:t xml:space="preserve">What was observed?</w:t>
            </w:r>
          </w:p>
        </w:tc>
        <w:tc>
          <w:tcPr>
            <w:tcW w:w="1310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>Dated observation and where it happened; identify the assignment, piece or event if relevant.</w:t>
            </w:r>
          </w:p>
        </w:tc>
      </w:tr>
      <w:tr>
        <w:trPr>
          <w:trHeight w:val="850" w:hRule="atLeast"/>
          <w:cantSplit/>
        </w:trPr>
        <w:tc>
          <w:tcPr>
            <w:tcW w:w="2300" w:type="dxa"/>
            <w:vAlign w:val="top"/>
            <w:shd w:val="clear" w:fill="F2F0EC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  <w:b/>
              </w:rPr>
              <w:t xml:space="preserve">Student’s account</w:t>
            </w:r>
          </w:p>
        </w:tc>
        <w:tc>
          <w:tcPr>
            <w:tcW w:w="1310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>What does the student say is happening? Keep an explanation separate from assumptions.</w:t>
            </w:r>
          </w:p>
        </w:tc>
      </w:tr>
      <w:tr>
        <w:trPr>
          <w:trHeight w:val="450" w:hRule="atLeast"/>
          <w:cantSplit/>
        </w:trPr>
        <w:tc>
          <w:tcPr>
            <w:tcW w:w="2300" w:type="dxa"/>
            <w:vAlign w:val="top"/>
            <w:shd w:val="clear" w:fill="F2F0EC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  <w:b/>
              </w:rPr>
              <w:t xml:space="preserve">Named owner</w:t>
            </w:r>
          </w:p>
        </w:tc>
        <w:tc>
          <w:tcPr>
            <w:tcW w:w="1310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>Owner:                                                       Colleague to contact, if needed:</w:t>
            </w:r>
          </w:p>
        </w:tc>
      </w:tr>
      <w:tr>
        <w:trPr>
          <w:trHeight w:val="850" w:hRule="atLeast"/>
          <w:cantSplit/>
        </w:trPr>
        <w:tc>
          <w:tcPr>
            <w:tcW w:w="2300" w:type="dxa"/>
            <w:vAlign w:val="top"/>
            <w:shd w:val="clear" w:fill="F2F0EC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  <w:b/>
              </w:rPr>
              <w:t xml:space="preserve">Agreed next action</w:t>
            </w:r>
          </w:p>
        </w:tc>
        <w:tc>
          <w:tcPr>
            <w:tcW w:w="1310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>Who will do what, by when? Include the student’s agreed task and any staff action.</w:t>
            </w:r>
          </w:p>
        </w:tc>
      </w:tr>
      <w:tr>
        <w:trPr>
          <w:trHeight w:val="600" w:hRule="atLeast"/>
          <w:cantSplit/>
        </w:trPr>
        <w:tc>
          <w:tcPr>
            <w:tcW w:w="2300" w:type="dxa"/>
            <w:vAlign w:val="top"/>
            <w:shd w:val="clear" w:fill="F2F0EC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  <w:b/>
              </w:rPr>
              <w:t xml:space="preserve">Review to arrange</w:t>
            </w:r>
          </w:p>
        </w:tc>
        <w:tc>
          <w:tcPr>
            <w:tcW w:w="1310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>Review date:                              What will the owner check with the student?</w:t>
            </w:r>
          </w:p>
        </w:tc>
      </w:tr>
    </w:tbl>
    <w:p>
      <w:pPr>
        <w:spacing w:after="60" w:line="240" w:lineRule="auto"/>
      </w:pPr>
      <w:r>
        <w:rPr>
          <w:rFonts w:ascii="Calibri" w:hAnsi="Calibri"/>
          <w:sz w:val="24"/>
          <w:b/>
        </w:rPr>
        <w:t xml:space="preserve">Review and revise</w:t>
      </w:r>
    </w:p>
    <w:tbl>
      <w:tblPr>
        <w:tblW w:w="15400" w:type="dxa"/>
        <w:tblLayout w:type="fixed"/>
        <w:tblBorders>
          <w:top w:val="single" w:sz="4" w:color="B7B1A8"/>
          <w:left w:val="single" w:sz="4" w:color="B7B1A8"/>
          <w:bottom w:val="single" w:sz="4" w:color="B7B1A8"/>
          <w:right w:val="single" w:sz="4" w:color="B7B1A8"/>
          <w:insideH w:val="single" w:sz="4" w:color="B7B1A8"/>
          <w:insideV w:val="single" w:sz="4" w:color="B7B1A8"/>
        </w:tblBorders>
        <w:tblCellMar>
          <w:top w:w="95" w:type="dxa"/>
          <w:left w:w="115" w:type="dxa"/>
          <w:bottom w:w="95" w:type="dxa"/>
          <w:right w:w="115" w:type="dxa"/>
        </w:tblCellMar>
      </w:tblPr>
      <w:tblGrid>
        <w:gridCol w:w="2300"/>
        <w:gridCol w:w="6550"/>
        <w:gridCol w:w="6550"/>
      </w:tblGrid>
      <w:tr>
        <w:trPr>
          <w:trHeight w:val="400" w:hRule="atLeast"/>
          <w:cantSplit/>
          <w:tblHeader/>
        </w:trPr>
        <w:tc>
          <w:tcPr>
            <w:tcW w:w="2300" w:type="dxa"/>
            <w:vAlign w:val="top"/>
            <w:shd w:val="clear" w:fill="F2F0EC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  <w:b/>
              </w:rPr>
              <w:t xml:space="preserve">Date / reviewer</w:t>
            </w:r>
          </w:p>
        </w:tc>
        <w:tc>
          <w:tcPr>
            <w:tcW w:w="6550" w:type="dxa"/>
            <w:vAlign w:val="top"/>
            <w:shd w:val="clear" w:fill="F2F0EC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  <w:b/>
              </w:rPr>
              <w:t xml:space="preserve">What happened? Include the student’s response.</w:t>
            </w:r>
          </w:p>
        </w:tc>
        <w:tc>
          <w:tcPr>
            <w:tcW w:w="6550" w:type="dxa"/>
            <w:vAlign w:val="top"/>
            <w:shd w:val="clear" w:fill="F2F0EC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  <w:b/>
              </w:rPr>
              <w:t xml:space="preserve">Decision / next action / next review date</w:t>
            </w:r>
          </w:p>
        </w:tc>
      </w:tr>
      <w:tr>
        <w:trPr>
          <w:trHeight w:val="650" w:hRule="atLeast"/>
          <w:cantSplit/>
        </w:trPr>
        <w:tc>
          <w:tcPr>
            <w:tcW w:w="230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/>
            </w:r>
          </w:p>
        </w:tc>
        <w:tc>
          <w:tcPr>
            <w:tcW w:w="655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/>
            </w:r>
          </w:p>
        </w:tc>
        <w:tc>
          <w:tcPr>
            <w:tcW w:w="655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/>
            </w:r>
          </w:p>
        </w:tc>
      </w:tr>
      <w:tr>
        <w:trPr>
          <w:trHeight w:val="650" w:hRule="atLeast"/>
          <w:cantSplit/>
        </w:trPr>
        <w:tc>
          <w:tcPr>
            <w:tcW w:w="230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/>
            </w:r>
          </w:p>
        </w:tc>
        <w:tc>
          <w:tcPr>
            <w:tcW w:w="655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/>
            </w:r>
          </w:p>
        </w:tc>
        <w:tc>
          <w:tcPr>
            <w:tcW w:w="655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/>
            </w:r>
          </w:p>
        </w:tc>
      </w:tr>
      <w:tr>
        <w:trPr>
          <w:trHeight w:val="650" w:hRule="atLeast"/>
          <w:cantSplit/>
        </w:trPr>
        <w:tc>
          <w:tcPr>
            <w:tcW w:w="230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/>
            </w:r>
          </w:p>
        </w:tc>
        <w:tc>
          <w:tcPr>
            <w:tcW w:w="655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/>
            </w:r>
          </w:p>
        </w:tc>
        <w:tc>
          <w:tcPr>
            <w:tcW w:w="6550" w:type="dxa"/>
            <w:vAlign w:val="top"/>
          </w:tcPr>
          <w:p>
            <w:pPr>
              <w:spacing w:after="50" w:line="240" w:lineRule="auto"/>
            </w:pPr>
            <w:r>
              <w:rPr>
                <w:rFonts w:ascii="Calibri" w:hAnsi="Calibri"/>
                <w:sz w:val="21"/>
              </w:rPr>
              <w:t xml:space="preserve"/>
            </w:r>
          </w:p>
        </w:tc>
      </w:tr>
    </w:tbl>
    <w:p>
      <w:pPr>
        <w:spacing w:after="50" w:line="240" w:lineRule="auto"/>
      </w:pPr>
      <w:r>
        <w:rPr>
          <w:rFonts w:ascii="Calibri" w:hAnsi="Calibri"/>
          <w:sz w:val="24"/>
          <w:b/>
        </w:rPr>
        <w:t xml:space="preserve">Final outcome</w:t>
      </w:r>
    </w:p>
    <w:p>
      <w:pPr>
        <w:spacing w:after="270" w:line="240" w:lineRule="auto"/>
      </w:pPr>
      <w:r>
        <w:rPr>
          <w:rFonts w:ascii="Calibri" w:hAnsi="Calibri"/>
          <w:sz w:val="21"/>
        </w:rPr>
        <w:t xml:space="preserve">What has been dealt with, and what remains in ordinary teaching? Checked by:                         Date:</w:t>
      </w:r>
    </w:p>
    <w:p>
      <w:pPr>
        <w:spacing w:after="140" w:line="240" w:lineRule="auto"/>
      </w:pPr>
      <w:r>
        <w:rPr>
          <w:rFonts w:ascii="Calibri" w:hAnsi="Calibri"/>
          <w:sz w:val="21"/>
        </w:rPr>
        <w:t xml:space="preserve">Where the outcome is recorded / any underlying assignment or readiness record updated:</w:t>
      </w:r>
    </w:p>
    <w:p>
      <w:pPr>
        <w:spacing w:after="70" w:line="240" w:lineRule="auto"/>
      </w:pPr>
      <w:r>
        <w:rPr>
          <w:rFonts w:ascii="Calibri" w:hAnsi="Calibri"/>
          <w:sz w:val="18"/>
        </w:rPr>
        <w:t xml:space="preserve">Practis note: this DOCX is a separate document, not an import form. Correcting underlying information can remove a prompt without creating a resolved-history note. Resolving a follow-up does not complete an assignment or change a readiness verdict.</w:t>
      </w:r>
    </w:p>
    <w:p>
      <w:pPr>
        <w:spacing w:after="50" w:line="240" w:lineRule="auto"/>
      </w:pPr>
      <w:r>
        <w:rPr>
          <w:rFonts w:ascii="Calibri" w:hAnsi="Calibri"/>
          <w:sz w:val="18"/>
        </w:rPr>
        <w:t xml:space="preserve">Keep sensitive disclosures in the school’s designated safeguarding or support process. This sheet is for ordinary teaching coordination.</w:t>
      </w:r>
    </w:p>
    <w:p>
      <w:pPr>
        <w:spacing w:after="0" w:line="240" w:lineRule="auto"/>
      </w:pPr>
      <w:r>
        <w:rPr>
          <w:rFonts w:ascii="Calibri" w:hAnsi="Calibri"/>
          <w:sz w:val="17"/>
        </w:rPr>
        <w:t xml:space="preserve">Practis • pract.is/blog/music-school-student-follow-up • Blank original template, November 2026</w:t>
      </w:r>
    </w:p>
    <w:sectPr>
      <w:pgSz w:w="16838" w:h="11906" w:orient="landscape"/>
      <w:pgMar w:top="600" w:right="719" w:bottom="600" w:left="719" w:header="0" w:footer="0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Student follow-up record</dc:title>
  <dc:creator>Practis</dc:creator>
  <dc:description>Blank editable record for ordinary music-school teaching follow-up. No real student data.</dc:description>
</cp:coreProperties>
</file>