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02" w:rsidRPr="00CE6C02" w:rsidRDefault="00CE6C02" w:rsidP="00CE6C02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eastAsia="tr-TR"/>
        </w:rPr>
      </w:pPr>
      <w:r w:rsidRPr="00CE6C02">
        <w:rPr>
          <w:rFonts w:ascii="Arial" w:eastAsia="Times New Roman" w:hAnsi="Arial" w:cs="Arial"/>
          <w:b/>
          <w:bCs/>
          <w:color w:val="333333"/>
          <w:sz w:val="36"/>
          <w:szCs w:val="36"/>
          <w:lang w:eastAsia="tr-TR"/>
        </w:rPr>
        <w:t>Üyelik Başvurusu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Derneğe Üye Olunabilmesi İçin Gerekli Belgeler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Şirketler için;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5" w:history="1"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Başvuru Dilekçesi (indirmek için tıklayınız)</w:t>
        </w:r>
      </w:hyperlink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İmza Sirküleri (orijinal veya noter tasdikli)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İmza Sirkülerinde imzası bulunan kişilerin Savcılıktan alınacak “Temiz Kâğıdı” (orijinal veya e-devletten alınabilir)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Faaliyet Belgesi (orijinal veya noter tasdikli / başvuru tarihinden </w:t>
      </w:r>
      <w:proofErr w:type="spell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max</w:t>
      </w:r>
      <w:proofErr w:type="spell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1 ay öncesine ait olmalı, 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online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alınan evrak kabul edilir)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Ticaret Sicil Gazetesi (orijinal veya noter tasdikli /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online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alınan evrak kabul edilir)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6" w:history="1"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Dernek faaliyetlerini yürütecek kişi için Noter Onaylı Şirket Karar Yazısı (indirmek için tıklayınız)</w:t>
        </w:r>
      </w:hyperlink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Dernek faaliyetlerini yürütecek kişi için Savcılıktan alınacak “Temiz Kâğıdı” (orijinal veya e-devletten alınabilir)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Dernek faaliyetlerini yürütecek kişi için Nüfus Kayıt Örneği-Cüzdanı Sureti (orijinal, Muhtarlıktan veya e-devletten alınabilir)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Dernek faaliyetlerini yürütecek kişi için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İkametgah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Senedi (orijinal, Muhtarlıktan veya e-devletten alınabilir)</w:t>
      </w:r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7" w:history="1"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 xml:space="preserve">Üye Bilgi Formu </w:t>
        </w:r>
        <w:proofErr w:type="spellStart"/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Orjinal</w:t>
        </w:r>
        <w:proofErr w:type="spellEnd"/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 (indirmek için tıklayınız)</w:t>
        </w:r>
      </w:hyperlink>
    </w:p>
    <w:p w:rsidR="00CE6C02" w:rsidRPr="00CE6C02" w:rsidRDefault="00CE6C02" w:rsidP="00CE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8" w:history="1"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Kişisel Verilerin Korunması Kanunu aydınlatma metni, açık rıza metni (indirmek için tıklayınız)</w:t>
        </w:r>
      </w:hyperlink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Şahıs Firmaları İçin;</w:t>
      </w:r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9" w:tgtFrame="_blank" w:history="1"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Başvuru Dilekçesi (indirmek için tıklayınız)</w:t>
        </w:r>
      </w:hyperlink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İmza Sirküleri (orijinal veya noter tasdikli)</w:t>
      </w:r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Faaliyet Belgesi (orijinal veya noter tasdikli/ başvuru tarihinden </w:t>
      </w:r>
      <w:proofErr w:type="spell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max</w:t>
      </w:r>
      <w:proofErr w:type="spell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 1 ay öncesine ait olabilir)</w:t>
      </w:r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Ticaret Sicil Gazetesi (orijinal veya noter tasdikli)</w:t>
      </w:r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Savcılıktan “Temiz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Kağıdı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” (orijinal veya e-devletten alınabilir)</w:t>
      </w:r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Nüfus Kayıt Örneği (orijinal, Muhtarlıktan veya e-devletten alınabilir)</w:t>
      </w:r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İkametgâh Senedi (orijinal, Muhtarlıktan veya e-devletten alınabilir)</w:t>
      </w:r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0" w:history="1"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 xml:space="preserve">Üye Bilgi Formu </w:t>
        </w:r>
        <w:proofErr w:type="spellStart"/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Orjinal</w:t>
        </w:r>
        <w:proofErr w:type="spellEnd"/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 (indirmek için tıklayınız)</w:t>
        </w:r>
      </w:hyperlink>
    </w:p>
    <w:p w:rsidR="00CE6C02" w:rsidRPr="00CE6C02" w:rsidRDefault="00CE6C02" w:rsidP="00CE6C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1" w:history="1">
        <w:r w:rsidRPr="00CE6C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Kişisel Verilerin Korunması Kanunu aydınlatma metni, açık rıza metni (indirmek için tıklayınız)</w:t>
        </w:r>
      </w:hyperlink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Üyelik Süreci:</w:t>
      </w:r>
    </w:p>
    <w:p w:rsidR="00CE6C02" w:rsidRPr="00CE6C02" w:rsidRDefault="00CE6C02" w:rsidP="00CE6C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Üyelik için gerekli evraklar ile derneğe kargo/posta yolu aracılığı ile veya şahsen başvuru yapılır.</w:t>
      </w:r>
    </w:p>
    <w:p w:rsidR="00CE6C02" w:rsidRPr="00CE6C02" w:rsidRDefault="00CE6C02" w:rsidP="00CE6C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Başvuru tarihinden itibaren 30 gün içerisinde Yönetim Kurulu tarafından ret/onay cevabı verilir.</w:t>
      </w:r>
    </w:p>
    <w:p w:rsidR="00CE6C02" w:rsidRPr="00CE6C02" w:rsidRDefault="00CE6C02" w:rsidP="00CE6C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Üyelik başvurusunun onaylanması halinde, başvuru yapan firmaya iletilen Hizmet Sözleşmesi ve yapılan ödemeye ait banka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dekontu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Derneğimize gönderilir.</w:t>
      </w:r>
    </w:p>
    <w:p w:rsidR="00CE6C02" w:rsidRPr="00CE6C02" w:rsidRDefault="00CE6C02" w:rsidP="00CE6C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Üyelik başvurusunun onaylanmaması veya vazgeçilmesi durumunda başvuru evrakları iade edilir.</w:t>
      </w:r>
    </w:p>
    <w:p w:rsidR="00CE6C02" w:rsidRPr="00CE6C02" w:rsidRDefault="00CE6C02" w:rsidP="00CE6C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Başvurusu onaylanıp Hizmet Sözleşmesi ve banka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dekontu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Derneğimize ulaşan firmaların üyelik durumu ve Çevre Uyum İzni onayı için Çevre ve Şehircilik Bakanlığına yazı gönderilir. (bir nüshası da başvuru yapan firmaya gönderilir)</w:t>
      </w:r>
    </w:p>
    <w:p w:rsidR="00CE6C02" w:rsidRPr="00CE6C02" w:rsidRDefault="00CE6C02" w:rsidP="00CE6C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Başvuru yapan firma TAREKS üzerinden Çevre Uyum İzin başvurusunda bulunur.</w:t>
      </w:r>
    </w:p>
    <w:p w:rsidR="00CE6C02" w:rsidRPr="00CE6C02" w:rsidRDefault="00CE6C02" w:rsidP="00CE6C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Çevre ve Şehircilik Bakanlığı tarafından ilgili başvuru onaylanarak Firma Çevre Uyum İzni almış olur.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sz w:val="21"/>
          <w:szCs w:val="21"/>
          <w:lang w:eastAsia="tr-TR"/>
        </w:rPr>
        <w:lastRenderedPageBreak/>
        <w:t>Not        1</w:t>
      </w:r>
      <w:r w:rsidRPr="00CE6C02">
        <w:rPr>
          <w:rFonts w:ascii="Arial" w:eastAsia="Times New Roman" w:hAnsi="Arial" w:cs="Arial"/>
          <w:color w:val="0000FF"/>
          <w:sz w:val="21"/>
          <w:szCs w:val="21"/>
          <w:lang w:eastAsia="tr-TR"/>
        </w:rPr>
        <w:t>:</w:t>
      </w: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Giriş aidatı 194.200,-TL ve alınan Yönetim Kurulu kararıyla 2026 yılı yıllık aidat 6.600,-TL  (aylık 550 TL)’</w:t>
      </w:r>
      <w:proofErr w:type="spell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dir</w:t>
      </w:r>
      <w:proofErr w:type="spell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 Tüzüğümüz gereği giriş aidatı ve yıllık aidatlarda herhangi bir değişiklik (indirim, taksit, çek vb.) yapılamamaktadır. Aidatları aşağıdaki hesap numarasına yatırabilirsiniz.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Hesap Bilgileri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Banka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Adı :Vakıfbank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İstanbul Şubesi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Iban</w:t>
      </w:r>
      <w:proofErr w:type="spell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: TR47 0001 5001 5800 7302 2287 42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Hesap </w:t>
      </w:r>
      <w:proofErr w:type="gramStart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Sahibi  : Taşınabilir</w:t>
      </w:r>
      <w:proofErr w:type="gramEnd"/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Pil Üreticileri ve İthalatçıları Derneği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Not        2</w:t>
      </w:r>
      <w:r w:rsidRPr="00CE6C02">
        <w:rPr>
          <w:rFonts w:ascii="Arial" w:eastAsia="Times New Roman" w:hAnsi="Arial" w:cs="Arial"/>
          <w:color w:val="0000FF"/>
          <w:sz w:val="21"/>
          <w:szCs w:val="21"/>
          <w:lang w:eastAsia="tr-TR"/>
        </w:rPr>
        <w:t>:</w:t>
      </w: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Elden yapılacak üyelik başvuruları için lütfen randevu alınız.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Not        3: </w:t>
      </w: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Derneğimize üyelik için başvuru yapan firmalar için, 4721 Sayılı Türk Medeni Kanununun Dernekler ve Vakıflarla İlgili Hükümleri 64.Maddesi gereğince yasal başvuru süreci uygulanmaktadır.</w:t>
      </w: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  <w:r w:rsidRPr="00CE6C02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tr-TR"/>
        </w:rPr>
        <w:t>Madde 64- (Değişik: 30.07.2003 tarih ve 4963/32) Fiil ehliyetine sahip bulunan her gerçek kişi ile tüzel kişiler, derneklere üye olma hakkına sahiptir.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tr-TR"/>
        </w:rPr>
        <w:t>Yazılı olarak yapılacak üyelik başvurusu, dernek yönetim kurulunca en çok otuz gün içinde karara bağlanır ve sonuç yazıyla başvuru sahibine bildirilir. Başvurusu kabul edilen üye, bu amaçla tutulacak deftere kaydedilir.</w:t>
      </w: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****  Üyelik süreci ile ilgili sormak istediğiniz konularla ilgili 0212 438 08 25 numaralı telefondan bilgi alabilirsiniz.</w:t>
      </w:r>
    </w:p>
    <w:p w:rsidR="00CE6C02" w:rsidRPr="00CE6C02" w:rsidRDefault="00CE6C02" w:rsidP="00CE6C02">
      <w:pPr>
        <w:shd w:val="clear" w:color="auto" w:fill="FFFFFF"/>
        <w:spacing w:after="100" w:afterAutospacing="1" w:line="240" w:lineRule="auto"/>
        <w:ind w:firstLine="9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CE6C02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Not      4:</w:t>
      </w:r>
      <w:r w:rsidRPr="00CE6C02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  <w:r w:rsidRPr="00CE6C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İthal Edilen piller için 2872 sayılı Çevre Kanunu gereği Hazine ve Maliye Bakanlığına Geri Kazanım Katılım Payı (GEKAP) ödenmesi gerekmektedir. Konu ile ilgili Üyelik/ithalat bölümümüzdeki Geri Kazanım Katılım Payı Uygulaması bölümünü inceleyebilirsiniz.</w:t>
      </w:r>
    </w:p>
    <w:p w:rsidR="00A138FE" w:rsidRDefault="00A138FE">
      <w:bookmarkStart w:id="0" w:name="_GoBack"/>
      <w:bookmarkEnd w:id="0"/>
    </w:p>
    <w:sectPr w:rsidR="00A1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67BD"/>
    <w:multiLevelType w:val="multilevel"/>
    <w:tmpl w:val="3308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50535"/>
    <w:multiLevelType w:val="multilevel"/>
    <w:tmpl w:val="0458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E3326"/>
    <w:multiLevelType w:val="multilevel"/>
    <w:tmpl w:val="08D8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02"/>
    <w:rsid w:val="00A138FE"/>
    <w:rsid w:val="00C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C0CE7-C2D0-4D23-A70E-CF579B98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98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.org.tr/wp-content/uploads/2024/09/Uyelik-Icin-KVKK-TAP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p.org.tr/wp-content/uploads/2023/09/uye-bilgi-formu_ta2018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p.org.tr/wp-content/uploads/2017/12/4.1-EK_Sirket_karar_yazisi_ornegi.doc" TargetMode="External"/><Relationship Id="rId11" Type="http://schemas.openxmlformats.org/officeDocument/2006/relationships/hyperlink" Target="https://tap.org.tr/wp-content/uploads/2024/09/Uyelik-Icin-KVKK-TAP.docx" TargetMode="External"/><Relationship Id="rId5" Type="http://schemas.openxmlformats.org/officeDocument/2006/relationships/hyperlink" Target="https://tap.org.tr/wp-content/uploads/2024/09/basvurudilekcesi_ta.doc" TargetMode="External"/><Relationship Id="rId10" Type="http://schemas.openxmlformats.org/officeDocument/2006/relationships/hyperlink" Target="https://tap.org.tr/wp-content/uploads/2023/09/uye-bilgi-formu_ta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p.org.tr/wp-content/uploads/2024/09/basvurudilekcesi_ta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Ayan</dc:creator>
  <cp:keywords/>
  <dc:description/>
  <cp:lastModifiedBy>Savaş Ayan</cp:lastModifiedBy>
  <cp:revision>1</cp:revision>
  <dcterms:created xsi:type="dcterms:W3CDTF">2026-03-17T17:22:00Z</dcterms:created>
  <dcterms:modified xsi:type="dcterms:W3CDTF">2026-03-17T17:22:00Z</dcterms:modified>
</cp:coreProperties>
</file>