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B07D" w14:textId="77777777" w:rsidR="00B3350A" w:rsidRPr="009843B4" w:rsidRDefault="00062EE4" w:rsidP="00A21CAC">
      <w:pPr>
        <w:spacing w:line="270" w:lineRule="exact"/>
        <w:jc w:val="right"/>
        <w:rPr>
          <w:rFonts w:asciiTheme="minorHAnsi" w:hAnsiTheme="minorHAnsi" w:cstheme="minorHAnsi"/>
        </w:rPr>
      </w:pPr>
      <w:r>
        <w:rPr>
          <w:noProof/>
        </w:rPr>
        <w:drawing>
          <wp:anchor distT="0" distB="0" distL="114300" distR="114300" simplePos="0" relativeHeight="251658240" behindDoc="0" locked="0" layoutInCell="1" allowOverlap="0" wp14:anchorId="37ACA42C" wp14:editId="7522F33D">
            <wp:simplePos x="0" y="0"/>
            <wp:positionH relativeFrom="page">
              <wp:posOffset>720090</wp:posOffset>
            </wp:positionH>
            <wp:positionV relativeFrom="page">
              <wp:posOffset>540385</wp:posOffset>
            </wp:positionV>
            <wp:extent cx="1494000" cy="396000"/>
            <wp:effectExtent l="0" t="0" r="0" b="4445"/>
            <wp:wrapSquare wrapText="bothSides"/>
            <wp:docPr id="4" name="Afbeelding 4" descr="logo Departement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Departement Zor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4000" cy="396000"/>
                    </a:xfrm>
                    <a:prstGeom prst="rect">
                      <a:avLst/>
                    </a:prstGeom>
                  </pic:spPr>
                </pic:pic>
              </a:graphicData>
            </a:graphic>
            <wp14:sizeRelH relativeFrom="margin">
              <wp14:pctWidth>0</wp14:pctWidth>
            </wp14:sizeRelH>
            <wp14:sizeRelV relativeFrom="margin">
              <wp14:pctHeight>0</wp14:pctHeight>
            </wp14:sizeRelV>
          </wp:anchor>
        </w:drawing>
      </w:r>
      <w:r w:rsidR="003D6944" w:rsidRPr="009843B4">
        <w:rPr>
          <w:rFonts w:asciiTheme="minorHAnsi" w:hAnsiTheme="minorHAnsi" w:cstheme="minorHAnsi"/>
        </w:rPr>
        <w:br w:type="textWrapping" w:clear="all"/>
      </w:r>
    </w:p>
    <w:p w14:paraId="0D6483FB" w14:textId="77777777" w:rsidR="004E662C" w:rsidRPr="00680526" w:rsidRDefault="004E662C" w:rsidP="00A21CAC">
      <w:pPr>
        <w:spacing w:line="270" w:lineRule="exact"/>
        <w:rPr>
          <w:rFonts w:eastAsia="Calibri" w:cs="Calibri"/>
          <w:b/>
          <w:sz w:val="20"/>
          <w:szCs w:val="20"/>
        </w:rPr>
      </w:pPr>
      <w:r w:rsidRPr="00680526">
        <w:rPr>
          <w:rFonts w:eastAsia="Calibri" w:cs="Calibri"/>
          <w:b/>
          <w:sz w:val="20"/>
          <w:szCs w:val="20"/>
        </w:rPr>
        <w:t xml:space="preserve">Afdeling </w:t>
      </w:r>
      <w:r w:rsidR="006A3797" w:rsidRPr="006A3797">
        <w:rPr>
          <w:rFonts w:eastAsia="Calibri" w:cs="Calibri"/>
          <w:b/>
          <w:sz w:val="20"/>
          <w:szCs w:val="20"/>
        </w:rPr>
        <w:t>Preventief Gezondheidsbeleid</w:t>
      </w:r>
    </w:p>
    <w:p w14:paraId="6427DC1E" w14:textId="77777777" w:rsidR="004E662C" w:rsidRDefault="004E662C" w:rsidP="00A21CAC">
      <w:pPr>
        <w:spacing w:line="270" w:lineRule="exact"/>
        <w:rPr>
          <w:rFonts w:eastAsia="Calibri" w:cs="Calibri"/>
          <w:sz w:val="20"/>
          <w:szCs w:val="20"/>
        </w:rPr>
      </w:pPr>
      <w:r w:rsidRPr="00680526">
        <w:rPr>
          <w:rFonts w:eastAsia="Calibri" w:cs="Calibri"/>
          <w:b/>
          <w:sz w:val="20"/>
          <w:szCs w:val="20"/>
        </w:rPr>
        <w:t xml:space="preserve">T </w:t>
      </w:r>
      <w:r w:rsidRPr="00680526">
        <w:rPr>
          <w:rFonts w:eastAsia="Calibri" w:cs="Calibri"/>
          <w:sz w:val="20"/>
          <w:szCs w:val="20"/>
        </w:rPr>
        <w:t xml:space="preserve">02 553 </w:t>
      </w:r>
      <w:r w:rsidR="00D83F91">
        <w:rPr>
          <w:rFonts w:eastAsia="Calibri" w:cs="Calibri"/>
          <w:sz w:val="20"/>
          <w:szCs w:val="20"/>
        </w:rPr>
        <w:t>3</w:t>
      </w:r>
      <w:r w:rsidR="006A3797">
        <w:rPr>
          <w:rFonts w:eastAsia="Calibri" w:cs="Calibri"/>
          <w:sz w:val="20"/>
          <w:szCs w:val="20"/>
        </w:rPr>
        <w:t>6 71</w:t>
      </w:r>
    </w:p>
    <w:p w14:paraId="683463FB" w14:textId="5D728C6A" w:rsidR="00BE2444" w:rsidRDefault="006328BA" w:rsidP="00BE2444">
      <w:pPr>
        <w:spacing w:line="270" w:lineRule="exact"/>
      </w:pPr>
      <w:hyperlink r:id="rId13" w:history="1">
        <w:r w:rsidRPr="00792687">
          <w:rPr>
            <w:rStyle w:val="Hyperlink"/>
            <w:rFonts w:eastAsia="Calibri" w:cs="Calibri"/>
            <w:bCs/>
            <w:sz w:val="20"/>
            <w:szCs w:val="20"/>
          </w:rPr>
          <w:t>drinkwater@vlaanderen.be</w:t>
        </w:r>
      </w:hyperlink>
    </w:p>
    <w:p w14:paraId="3B3ED6C0" w14:textId="77777777" w:rsidR="006328BA" w:rsidRPr="008118DD" w:rsidRDefault="006328BA" w:rsidP="00BE2444">
      <w:pPr>
        <w:spacing w:line="270" w:lineRule="exact"/>
        <w:rPr>
          <w:rFonts w:eastAsia="Calibri" w:cs="Calibri"/>
          <w:bCs/>
          <w:sz w:val="20"/>
          <w:szCs w:val="20"/>
        </w:rPr>
      </w:pPr>
    </w:p>
    <w:p w14:paraId="58538AAC" w14:textId="77777777" w:rsidR="003D6944" w:rsidRPr="00680526" w:rsidRDefault="003D6944" w:rsidP="003D6944">
      <w:pPr>
        <w:spacing w:line="240" w:lineRule="auto"/>
        <w:rPr>
          <w:rFonts w:asciiTheme="majorHAnsi" w:hAnsiTheme="majorHAnsi" w:cstheme="majorHAnsi"/>
          <w:sz w:val="16"/>
          <w:szCs w:val="16"/>
        </w:rPr>
      </w:pPr>
      <w:r w:rsidRPr="00680526">
        <w:rPr>
          <w:rFonts w:asciiTheme="majorHAnsi" w:hAnsiTheme="majorHAnsi" w:cstheme="majorHAnsi"/>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9"/>
        <w:gridCol w:w="312"/>
      </w:tblGrid>
      <w:tr w:rsidR="003D6944" w:rsidRPr="00680526" w14:paraId="6F78D0D7" w14:textId="77777777" w:rsidTr="00F10F89">
        <w:trPr>
          <w:trHeight w:val="1131"/>
        </w:trPr>
        <w:tc>
          <w:tcPr>
            <w:tcW w:w="9747" w:type="dxa"/>
          </w:tcPr>
          <w:p w14:paraId="710BC0C5" w14:textId="77777777" w:rsidR="006328BA" w:rsidRDefault="006328BA" w:rsidP="006328BA">
            <w:pPr>
              <w:pStyle w:val="Onderwerp"/>
              <w:tabs>
                <w:tab w:val="clear" w:pos="1191"/>
                <w:tab w:val="left" w:pos="1313"/>
              </w:tabs>
              <w:spacing w:after="120"/>
            </w:pPr>
          </w:p>
          <w:p w14:paraId="5C435FF6" w14:textId="0CC2240A" w:rsidR="003D6944" w:rsidRPr="00DE1B04" w:rsidRDefault="008E0C8D" w:rsidP="006328BA">
            <w:pPr>
              <w:pStyle w:val="Onderwerp"/>
              <w:tabs>
                <w:tab w:val="clear" w:pos="1191"/>
                <w:tab w:val="left" w:pos="1313"/>
              </w:tabs>
              <w:ind w:left="1315" w:hanging="1315"/>
              <w:jc w:val="center"/>
            </w:pPr>
            <w:sdt>
              <w:sdtPr>
                <w:tag w:val=""/>
                <w:id w:val="341744318"/>
                <w:placeholder>
                  <w:docPart w:val="F5195B2689A143DA97B00026F52E5E11"/>
                </w:placeholder>
                <w:dataBinding w:prefixMappings="xmlns:ns0='http://purl.org/dc/elements/1.1/' xmlns:ns1='http://schemas.openxmlformats.org/package/2006/metadata/core-properties' " w:xpath="/ns1:coreProperties[1]/ns0:title[1]" w:storeItemID="{6C3C8BC8-F283-45AE-878A-BAB7291924A1}"/>
                <w:text/>
              </w:sdtPr>
              <w:sdtContent>
                <w:r w:rsidR="00641DE5">
                  <w:t>Veel gestelde vragen rond de gezondheidsaspecten van 1,2,4-triazool in drinkwater</w:t>
                </w:r>
              </w:sdtContent>
            </w:sdt>
          </w:p>
        </w:tc>
        <w:tc>
          <w:tcPr>
            <w:tcW w:w="314" w:type="dxa"/>
          </w:tcPr>
          <w:p w14:paraId="1FC54F1D" w14:textId="77777777" w:rsidR="003D6944" w:rsidRPr="00680526" w:rsidRDefault="003D6944" w:rsidP="00F10F89">
            <w:pPr>
              <w:spacing w:after="20"/>
              <w:rPr>
                <w:rFonts w:ascii="FlandersArtSans-Regular" w:hAnsi="FlandersArtSans-Regular"/>
              </w:rPr>
            </w:pPr>
          </w:p>
        </w:tc>
      </w:tr>
    </w:tbl>
    <w:p w14:paraId="08F0C8FC" w14:textId="77777777" w:rsidR="003D6944" w:rsidRPr="00680526" w:rsidRDefault="003D6944" w:rsidP="003D6944">
      <w:pPr>
        <w:spacing w:line="240" w:lineRule="auto"/>
        <w:rPr>
          <w:rFonts w:asciiTheme="majorHAnsi" w:hAnsiTheme="majorHAnsi" w:cstheme="majorHAnsi"/>
          <w:sz w:val="16"/>
          <w:szCs w:val="16"/>
        </w:rPr>
        <w:sectPr w:rsidR="003D6944" w:rsidRPr="00680526" w:rsidSect="00B3350A">
          <w:headerReference w:type="default" r:id="rId14"/>
          <w:footerReference w:type="default" r:id="rId15"/>
          <w:headerReference w:type="first" r:id="rId16"/>
          <w:footerReference w:type="first" r:id="rId17"/>
          <w:pgSz w:w="11906" w:h="16838" w:code="9"/>
          <w:pgMar w:top="851" w:right="851" w:bottom="1701" w:left="1134" w:header="851" w:footer="851" w:gutter="0"/>
          <w:cols w:space="708"/>
          <w:titlePg/>
          <w:docGrid w:linePitch="360"/>
        </w:sectPr>
      </w:pPr>
      <w:r w:rsidRPr="00680526">
        <w:rPr>
          <w:rFonts w:asciiTheme="majorHAnsi" w:hAnsiTheme="majorHAnsi" w:cstheme="majorHAnsi"/>
          <w:sz w:val="16"/>
          <w:szCs w:val="16"/>
        </w:rPr>
        <w:t>////////////////////////////////////////////////////////////////////////////////////////////////////////////////////////////////////////////////////////////////</w:t>
      </w:r>
    </w:p>
    <w:p w14:paraId="185B2F36" w14:textId="77777777" w:rsidR="003D6944" w:rsidRPr="00680526" w:rsidRDefault="003D6944" w:rsidP="003D6944">
      <w:pPr>
        <w:spacing w:line="240" w:lineRule="auto"/>
        <w:rPr>
          <w:rFonts w:cs="Calibri"/>
        </w:rPr>
      </w:pPr>
    </w:p>
    <w:p w14:paraId="334CFFEC" w14:textId="77777777" w:rsidR="006328BA" w:rsidRDefault="006328BA" w:rsidP="006328BA">
      <w:pPr>
        <w:rPr>
          <w:b/>
          <w:bCs/>
        </w:rPr>
      </w:pPr>
    </w:p>
    <w:p w14:paraId="2C02E032" w14:textId="77777777" w:rsidR="006328BA" w:rsidRPr="00B40864" w:rsidRDefault="006328BA" w:rsidP="006328BA">
      <w:pPr>
        <w:spacing w:line="240" w:lineRule="auto"/>
        <w:rPr>
          <w:rFonts w:cs="Calibri"/>
          <w:b/>
          <w:bCs/>
        </w:rPr>
      </w:pPr>
      <w:r w:rsidRPr="00B40864">
        <w:rPr>
          <w:rFonts w:cs="Calibri"/>
          <w:b/>
          <w:bCs/>
        </w:rPr>
        <w:t xml:space="preserve">Wat is 1,2,4-triazool? </w:t>
      </w:r>
    </w:p>
    <w:p w14:paraId="22005769" w14:textId="77777777" w:rsidR="003F06FD" w:rsidRDefault="003F06FD" w:rsidP="006328BA">
      <w:pPr>
        <w:spacing w:line="240" w:lineRule="auto"/>
        <w:jc w:val="both"/>
      </w:pPr>
    </w:p>
    <w:p w14:paraId="055FA161" w14:textId="086B9358" w:rsidR="006328BA" w:rsidRDefault="006328BA" w:rsidP="006328BA">
      <w:pPr>
        <w:spacing w:line="240" w:lineRule="auto"/>
        <w:jc w:val="both"/>
      </w:pPr>
      <w:r w:rsidRPr="00BB472A">
        <w:t>1,2,4-triazo</w:t>
      </w:r>
      <w:r>
        <w:t>ol</w:t>
      </w:r>
      <w:r w:rsidRPr="00BB472A">
        <w:t xml:space="preserve"> (CASnr. 288-88-0) is een metaboliet van </w:t>
      </w:r>
      <w:r>
        <w:t xml:space="preserve">triazoolbevattende fungiciden (= schimmelbestrijdingsmiddelen), zoals metconazool. De stof is ook aanwezig in sommige geneesmiddelen voor de behandeling van schimmels, zoals fluconazol en itraconazol. </w:t>
      </w:r>
    </w:p>
    <w:p w14:paraId="40BEB718" w14:textId="77777777" w:rsidR="006328BA" w:rsidRDefault="006328BA" w:rsidP="006328BA"/>
    <w:p w14:paraId="50774E13" w14:textId="77777777" w:rsidR="003F06FD" w:rsidRDefault="003F06FD" w:rsidP="006328BA"/>
    <w:p w14:paraId="6F82D7AD" w14:textId="77777777" w:rsidR="006328BA" w:rsidRPr="00B40864" w:rsidRDefault="006328BA" w:rsidP="006328BA">
      <w:pPr>
        <w:spacing w:line="240" w:lineRule="auto"/>
        <w:rPr>
          <w:rFonts w:cs="Calibri"/>
          <w:b/>
          <w:bCs/>
        </w:rPr>
      </w:pPr>
      <w:r w:rsidRPr="74379106">
        <w:rPr>
          <w:rFonts w:cs="Calibri"/>
          <w:b/>
          <w:bCs/>
        </w:rPr>
        <w:t xml:space="preserve">Wat houdt een afwijking op de norm voor 1,2,4-triazool in drinkwater in? </w:t>
      </w:r>
    </w:p>
    <w:p w14:paraId="3D0F3EB1" w14:textId="510DA0D7" w:rsidR="003F06FD" w:rsidRDefault="003F06FD" w:rsidP="74379106">
      <w:pPr>
        <w:spacing w:line="240" w:lineRule="auto"/>
        <w:jc w:val="both"/>
        <w:rPr>
          <w:rFonts w:ascii="Segoe UI" w:eastAsia="Segoe UI" w:hAnsi="Segoe UI" w:cs="Segoe UI"/>
          <w:i/>
          <w:iCs/>
          <w:color w:val="0F4C81" w:themeColor="accent1"/>
          <w:sz w:val="21"/>
          <w:szCs w:val="21"/>
        </w:rPr>
      </w:pPr>
    </w:p>
    <w:p w14:paraId="377E6EC0" w14:textId="086F1D21" w:rsidR="003F06FD" w:rsidRDefault="6D1591A6" w:rsidP="61841A1A">
      <w:pPr>
        <w:spacing w:line="240" w:lineRule="auto"/>
        <w:jc w:val="both"/>
        <w:rPr>
          <w:rFonts w:ascii="Segoe UI" w:eastAsia="Segoe UI" w:hAnsi="Segoe UI" w:cs="Segoe UI"/>
          <w:i/>
          <w:iCs/>
          <w:color w:val="0F4C81" w:themeColor="accent1"/>
          <w:sz w:val="21"/>
          <w:szCs w:val="21"/>
        </w:rPr>
      </w:pPr>
      <w:r w:rsidRPr="61841A1A">
        <w:rPr>
          <w:rFonts w:ascii="Segoe UI" w:eastAsia="Segoe UI" w:hAnsi="Segoe UI" w:cs="Segoe UI"/>
          <w:i/>
          <w:iCs/>
          <w:color w:val="0F4B80"/>
          <w:sz w:val="21"/>
          <w:szCs w:val="21"/>
        </w:rPr>
        <w:t>Een afwijking op de norm voor 1,2,4-triazool in drinkwater betekent dat er tijdelijk drinkwater mag verdeeld worden waarin de hoeveelheid van deze stof hoger is dan de wettelijke norm. Zo’n af</w:t>
      </w:r>
      <w:r w:rsidR="24E9A49E" w:rsidRPr="61841A1A">
        <w:rPr>
          <w:rFonts w:ascii="Segoe UI" w:eastAsia="Segoe UI" w:hAnsi="Segoe UI" w:cs="Segoe UI"/>
          <w:i/>
          <w:iCs/>
          <w:color w:val="0F4B80"/>
          <w:sz w:val="21"/>
          <w:szCs w:val="21"/>
        </w:rPr>
        <w:t xml:space="preserve">wijking wordt enkel verleend </w:t>
      </w:r>
      <w:r w:rsidRPr="61841A1A">
        <w:rPr>
          <w:rFonts w:ascii="Segoe UI" w:eastAsia="Segoe UI" w:hAnsi="Segoe UI" w:cs="Segoe UI"/>
          <w:i/>
          <w:iCs/>
          <w:color w:val="0F4B80"/>
          <w:sz w:val="21"/>
          <w:szCs w:val="21"/>
        </w:rPr>
        <w:t xml:space="preserve">als </w:t>
      </w:r>
      <w:r w:rsidR="17A4447D" w:rsidRPr="61841A1A">
        <w:rPr>
          <w:rFonts w:ascii="Segoe UI" w:eastAsia="Segoe UI" w:hAnsi="Segoe UI" w:cs="Segoe UI"/>
          <w:i/>
          <w:iCs/>
          <w:color w:val="0F4B80"/>
          <w:sz w:val="21"/>
          <w:szCs w:val="21"/>
        </w:rPr>
        <w:t>er</w:t>
      </w:r>
      <w:r w:rsidRPr="61841A1A">
        <w:rPr>
          <w:rFonts w:ascii="Segoe UI" w:eastAsia="Segoe UI" w:hAnsi="Segoe UI" w:cs="Segoe UI"/>
          <w:i/>
          <w:iCs/>
          <w:color w:val="0F4B80"/>
          <w:sz w:val="21"/>
          <w:szCs w:val="21"/>
        </w:rPr>
        <w:t xml:space="preserve"> geen gevaar </w:t>
      </w:r>
      <w:r w:rsidR="1C9EF189" w:rsidRPr="61841A1A">
        <w:rPr>
          <w:rFonts w:ascii="Segoe UI" w:eastAsia="Segoe UI" w:hAnsi="Segoe UI" w:cs="Segoe UI"/>
          <w:i/>
          <w:iCs/>
          <w:color w:val="0F4B80"/>
          <w:sz w:val="21"/>
          <w:szCs w:val="21"/>
        </w:rPr>
        <w:t xml:space="preserve">is </w:t>
      </w:r>
      <w:r w:rsidRPr="61841A1A">
        <w:rPr>
          <w:rFonts w:ascii="Segoe UI" w:eastAsia="Segoe UI" w:hAnsi="Segoe UI" w:cs="Segoe UI"/>
          <w:i/>
          <w:iCs/>
          <w:color w:val="0F4B80"/>
          <w:sz w:val="21"/>
          <w:szCs w:val="21"/>
        </w:rPr>
        <w:t xml:space="preserve">voor de gezondheid </w:t>
      </w:r>
      <w:r w:rsidR="00354AE8">
        <w:rPr>
          <w:rFonts w:ascii="Segoe UI" w:eastAsia="Segoe UI" w:hAnsi="Segoe UI" w:cs="Segoe UI"/>
          <w:i/>
          <w:iCs/>
          <w:color w:val="0F4B80"/>
          <w:sz w:val="21"/>
          <w:szCs w:val="21"/>
        </w:rPr>
        <w:t>van</w:t>
      </w:r>
      <w:r w:rsidR="174202E0" w:rsidRPr="61841A1A">
        <w:rPr>
          <w:rFonts w:ascii="Segoe UI" w:eastAsia="Segoe UI" w:hAnsi="Segoe UI" w:cs="Segoe UI"/>
          <w:i/>
          <w:iCs/>
          <w:color w:val="0F4B80"/>
          <w:sz w:val="21"/>
          <w:szCs w:val="21"/>
        </w:rPr>
        <w:t xml:space="preserve"> de gebruikers </w:t>
      </w:r>
      <w:r w:rsidRPr="61841A1A">
        <w:rPr>
          <w:rFonts w:ascii="Segoe UI" w:eastAsia="Segoe UI" w:hAnsi="Segoe UI" w:cs="Segoe UI"/>
          <w:i/>
          <w:iCs/>
          <w:color w:val="0F4B80"/>
          <w:sz w:val="21"/>
          <w:szCs w:val="21"/>
        </w:rPr>
        <w:t xml:space="preserve">en er geen andere manier is om </w:t>
      </w:r>
      <w:r w:rsidR="47E45BE1" w:rsidRPr="61841A1A">
        <w:rPr>
          <w:rFonts w:ascii="Segoe UI" w:eastAsia="Segoe UI" w:hAnsi="Segoe UI" w:cs="Segoe UI"/>
          <w:i/>
          <w:iCs/>
          <w:color w:val="0F4B80"/>
          <w:sz w:val="21"/>
          <w:szCs w:val="21"/>
        </w:rPr>
        <w:t xml:space="preserve">de levering van </w:t>
      </w:r>
      <w:r w:rsidRPr="61841A1A">
        <w:rPr>
          <w:rFonts w:ascii="Segoe UI" w:eastAsia="Segoe UI" w:hAnsi="Segoe UI" w:cs="Segoe UI"/>
          <w:i/>
          <w:iCs/>
          <w:color w:val="0F4B80"/>
          <w:sz w:val="21"/>
          <w:szCs w:val="21"/>
        </w:rPr>
        <w:t>drinkwater</w:t>
      </w:r>
      <w:r w:rsidR="30ACBF25" w:rsidRPr="61841A1A">
        <w:rPr>
          <w:rFonts w:ascii="Segoe UI" w:eastAsia="Segoe UI" w:hAnsi="Segoe UI" w:cs="Segoe UI"/>
          <w:i/>
          <w:iCs/>
          <w:color w:val="0F4B80"/>
          <w:sz w:val="21"/>
          <w:szCs w:val="21"/>
        </w:rPr>
        <w:t xml:space="preserve"> in het gebied te garanderen</w:t>
      </w:r>
      <w:r w:rsidRPr="61841A1A">
        <w:rPr>
          <w:rFonts w:ascii="Segoe UI" w:eastAsia="Segoe UI" w:hAnsi="Segoe UI" w:cs="Segoe UI"/>
          <w:i/>
          <w:iCs/>
          <w:color w:val="0F4B80"/>
          <w:sz w:val="21"/>
          <w:szCs w:val="21"/>
        </w:rPr>
        <w:t xml:space="preserve">. In dit geval is de norm tijdelijk verhoogd van 0,1 µg/l naar 1 µg/l voor bepaalde gebieden in West-Vlaanderen. </w:t>
      </w:r>
      <w:r w:rsidR="41F4F7B3" w:rsidRPr="61841A1A">
        <w:rPr>
          <w:rFonts w:ascii="Segoe UI" w:eastAsia="Segoe UI" w:hAnsi="Segoe UI" w:cs="Segoe UI"/>
          <w:i/>
          <w:iCs/>
          <w:color w:val="0F4B80"/>
          <w:sz w:val="21"/>
          <w:szCs w:val="21"/>
        </w:rPr>
        <w:t xml:space="preserve">Aan de afwijking zijn </w:t>
      </w:r>
      <w:r w:rsidRPr="61841A1A">
        <w:rPr>
          <w:rFonts w:ascii="Segoe UI" w:eastAsia="Segoe UI" w:hAnsi="Segoe UI" w:cs="Segoe UI"/>
          <w:i/>
          <w:iCs/>
          <w:color w:val="0F4B80"/>
          <w:sz w:val="21"/>
          <w:szCs w:val="21"/>
        </w:rPr>
        <w:t xml:space="preserve">voorwaarden verbonden, </w:t>
      </w:r>
      <w:r w:rsidR="00AC7282">
        <w:rPr>
          <w:rFonts w:ascii="Segoe UI" w:eastAsia="Segoe UI" w:hAnsi="Segoe UI" w:cs="Segoe UI"/>
          <w:i/>
          <w:iCs/>
          <w:color w:val="0F4B80"/>
          <w:sz w:val="21"/>
          <w:szCs w:val="21"/>
        </w:rPr>
        <w:t>zo dient de waterkwaliteit</w:t>
      </w:r>
      <w:r w:rsidR="00A71C3E">
        <w:rPr>
          <w:rFonts w:ascii="Segoe UI" w:eastAsia="Segoe UI" w:hAnsi="Segoe UI" w:cs="Segoe UI"/>
          <w:i/>
          <w:iCs/>
          <w:color w:val="0F4B80"/>
          <w:sz w:val="21"/>
          <w:szCs w:val="21"/>
        </w:rPr>
        <w:t xml:space="preserve"> strikt</w:t>
      </w:r>
      <w:r w:rsidR="00AC7282">
        <w:rPr>
          <w:rFonts w:ascii="Segoe UI" w:eastAsia="Segoe UI" w:hAnsi="Segoe UI" w:cs="Segoe UI"/>
          <w:i/>
          <w:iCs/>
          <w:color w:val="0F4B80"/>
          <w:sz w:val="21"/>
          <w:szCs w:val="21"/>
        </w:rPr>
        <w:t xml:space="preserve"> </w:t>
      </w:r>
      <w:r w:rsidR="00A71C3E">
        <w:rPr>
          <w:rFonts w:ascii="Segoe UI" w:eastAsia="Segoe UI" w:hAnsi="Segoe UI" w:cs="Segoe UI"/>
          <w:i/>
          <w:iCs/>
          <w:color w:val="0F4B80"/>
          <w:sz w:val="21"/>
          <w:szCs w:val="21"/>
        </w:rPr>
        <w:t xml:space="preserve">opgevolgd te worden en dient er onderzoek te worden gedaan om ervoor te zorgen dat </w:t>
      </w:r>
      <w:r w:rsidRPr="61841A1A">
        <w:rPr>
          <w:rFonts w:ascii="Segoe UI" w:eastAsia="Segoe UI" w:hAnsi="Segoe UI" w:cs="Segoe UI"/>
          <w:i/>
          <w:iCs/>
          <w:color w:val="0F4B80"/>
          <w:sz w:val="21"/>
          <w:szCs w:val="21"/>
        </w:rPr>
        <w:t xml:space="preserve">de norm in de toekomst weer </w:t>
      </w:r>
      <w:r w:rsidR="00BA0A03">
        <w:rPr>
          <w:rFonts w:ascii="Segoe UI" w:eastAsia="Segoe UI" w:hAnsi="Segoe UI" w:cs="Segoe UI"/>
          <w:i/>
          <w:iCs/>
          <w:color w:val="0F4B80"/>
          <w:sz w:val="21"/>
          <w:szCs w:val="21"/>
        </w:rPr>
        <w:t>kan gehaald worden</w:t>
      </w:r>
      <w:r w:rsidRPr="61841A1A">
        <w:rPr>
          <w:rFonts w:ascii="Segoe UI" w:eastAsia="Segoe UI" w:hAnsi="Segoe UI" w:cs="Segoe UI"/>
          <w:i/>
          <w:iCs/>
          <w:color w:val="0F4B80"/>
          <w:sz w:val="21"/>
          <w:szCs w:val="21"/>
        </w:rPr>
        <w:t>.</w:t>
      </w:r>
    </w:p>
    <w:p w14:paraId="5B1FD869" w14:textId="5C6BBF61" w:rsidR="74379106" w:rsidRDefault="74379106" w:rsidP="74379106">
      <w:pPr>
        <w:spacing w:line="240" w:lineRule="auto"/>
        <w:jc w:val="both"/>
        <w:rPr>
          <w:rFonts w:cs="Calibri"/>
        </w:rPr>
      </w:pPr>
    </w:p>
    <w:p w14:paraId="0998FE63" w14:textId="19CF6832" w:rsidR="006328BA" w:rsidRPr="00B40864" w:rsidRDefault="006328BA" w:rsidP="006328BA">
      <w:pPr>
        <w:spacing w:line="240" w:lineRule="auto"/>
        <w:jc w:val="both"/>
        <w:rPr>
          <w:rFonts w:cs="Calibri"/>
        </w:rPr>
      </w:pPr>
      <w:r w:rsidRPr="00B40864">
        <w:rPr>
          <w:rFonts w:cs="Calibri"/>
        </w:rPr>
        <w:t>Artikel 21 van het Besluit van de Vlaamse Regering van 20 januari 2023 over de kwaliteit, kwantiteit en levering van water bestemd voor menselijke consumptie</w:t>
      </w:r>
      <w:r w:rsidR="00834743">
        <w:rPr>
          <w:rFonts w:cs="Calibri"/>
        </w:rPr>
        <w:t>,</w:t>
      </w:r>
      <w:r w:rsidRPr="00B40864">
        <w:rPr>
          <w:rFonts w:cs="Calibri"/>
        </w:rPr>
        <w:t xml:space="preserve"> bepaalt dat de minister van Leefmilieu</w:t>
      </w:r>
      <w:r w:rsidR="00B67EB4">
        <w:rPr>
          <w:rFonts w:cs="Calibri"/>
        </w:rPr>
        <w:t xml:space="preserve"> een afwijking op de parameterwaarde kan </w:t>
      </w:r>
      <w:r w:rsidR="00CE143B">
        <w:rPr>
          <w:rFonts w:cs="Calibri"/>
        </w:rPr>
        <w:t>toestaan. Dit gebeurd</w:t>
      </w:r>
      <w:r w:rsidRPr="00B40864">
        <w:rPr>
          <w:rFonts w:cs="Calibri"/>
        </w:rPr>
        <w:t xml:space="preserve"> op verzoek van de waterleverancier en na advies van de bevoegde entiteit Leefmilieu (= VMM) en de bevoegde entiteit Volksgezondheid (= Departement Zorg)</w:t>
      </w:r>
      <w:r w:rsidR="00CE143B">
        <w:rPr>
          <w:rFonts w:cs="Calibri"/>
        </w:rPr>
        <w:t>.</w:t>
      </w:r>
      <w:r w:rsidRPr="00B40864">
        <w:rPr>
          <w:rFonts w:cs="Calibri"/>
        </w:rPr>
        <w:t xml:space="preserve"> </w:t>
      </w:r>
      <w:r w:rsidR="00CE143B">
        <w:rPr>
          <w:rFonts w:cs="Calibri"/>
        </w:rPr>
        <w:t xml:space="preserve">Zo een </w:t>
      </w:r>
      <w:r w:rsidRPr="00B40864">
        <w:rPr>
          <w:rFonts w:cs="Calibri"/>
        </w:rPr>
        <w:t>afwijkingen op de parameterwaarden van bijlage Ia, deel B uit het drinkwaterbesluit</w:t>
      </w:r>
      <w:r w:rsidR="00CE143B">
        <w:rPr>
          <w:rFonts w:cs="Calibri"/>
        </w:rPr>
        <w:t>,</w:t>
      </w:r>
      <w:r w:rsidRPr="00B40864">
        <w:rPr>
          <w:rFonts w:cs="Calibri"/>
        </w:rPr>
        <w:t xml:space="preserve"> kan toe</w:t>
      </w:r>
      <w:r w:rsidR="007709A9">
        <w:rPr>
          <w:rFonts w:cs="Calibri"/>
        </w:rPr>
        <w:t>ges</w:t>
      </w:r>
      <w:r w:rsidRPr="00B40864">
        <w:rPr>
          <w:rFonts w:cs="Calibri"/>
        </w:rPr>
        <w:t xml:space="preserve">taan </w:t>
      </w:r>
      <w:r w:rsidR="007709A9">
        <w:rPr>
          <w:rFonts w:cs="Calibri"/>
        </w:rPr>
        <w:t xml:space="preserve">worden </w:t>
      </w:r>
      <w:r w:rsidRPr="00B40864">
        <w:rPr>
          <w:rFonts w:cs="Calibri"/>
        </w:rPr>
        <w:t>als de afwijking geen gevaar vormt voor de gezondheid van de mens en de levering van het water bestemd voor menselijke consumptie in het betrokken gebied op geen enkele andere redelijke manier kan worden verzekerd.</w:t>
      </w:r>
    </w:p>
    <w:p w14:paraId="69485B31" w14:textId="77777777" w:rsidR="003F06FD" w:rsidRDefault="003F06FD" w:rsidP="006328BA">
      <w:pPr>
        <w:spacing w:line="240" w:lineRule="auto"/>
        <w:jc w:val="both"/>
        <w:rPr>
          <w:rFonts w:cs="Calibri"/>
          <w:lang w:eastAsia="nl-BE"/>
        </w:rPr>
      </w:pPr>
    </w:p>
    <w:p w14:paraId="4D63DD3A" w14:textId="48C247EB" w:rsidR="006328BA" w:rsidRDefault="00B7474B" w:rsidP="006328BA">
      <w:pPr>
        <w:spacing w:line="240" w:lineRule="auto"/>
        <w:jc w:val="both"/>
        <w:rPr>
          <w:rFonts w:cs="Calibri"/>
          <w:lang w:eastAsia="nl-BE"/>
        </w:rPr>
      </w:pPr>
      <w:r>
        <w:rPr>
          <w:rFonts w:cs="Calibri"/>
          <w:lang w:eastAsia="nl-BE"/>
        </w:rPr>
        <w:t xml:space="preserve">In dit kader diende </w:t>
      </w:r>
      <w:r w:rsidR="006328BA" w:rsidRPr="00B92CAD">
        <w:rPr>
          <w:rFonts w:cs="Calibri"/>
          <w:lang w:eastAsia="nl-BE"/>
        </w:rPr>
        <w:t xml:space="preserve">De Watergroep op 5/1/2024 een aanvraag in voor afwijking op de </w:t>
      </w:r>
      <w:r w:rsidR="00E16113">
        <w:rPr>
          <w:rFonts w:cs="Calibri"/>
          <w:lang w:eastAsia="nl-BE"/>
        </w:rPr>
        <w:t>‘</w:t>
      </w:r>
      <w:r w:rsidR="006328BA" w:rsidRPr="00B92CAD">
        <w:rPr>
          <w:rFonts w:cs="Calibri"/>
          <w:lang w:eastAsia="nl-BE"/>
        </w:rPr>
        <w:t xml:space="preserve">parameterwaarde voor pesticiden </w:t>
      </w:r>
      <w:r w:rsidR="006328BA">
        <w:rPr>
          <w:rFonts w:cs="Calibri"/>
          <w:lang w:eastAsia="nl-BE"/>
        </w:rPr>
        <w:t xml:space="preserve">en relevante metabolieten </w:t>
      </w:r>
      <w:r w:rsidR="006328BA" w:rsidRPr="00B92CAD">
        <w:rPr>
          <w:rFonts w:cs="Calibri"/>
          <w:lang w:eastAsia="nl-BE"/>
        </w:rPr>
        <w:t>van 0,1 µg/l</w:t>
      </w:r>
      <w:r w:rsidR="008508B9">
        <w:rPr>
          <w:rFonts w:cs="Calibri"/>
          <w:lang w:eastAsia="nl-BE"/>
        </w:rPr>
        <w:t xml:space="preserve">. Dit specifiek voor </w:t>
      </w:r>
      <w:r w:rsidR="006328BA" w:rsidRPr="00B92CAD">
        <w:rPr>
          <w:rFonts w:cs="Calibri"/>
          <w:lang w:eastAsia="nl-BE"/>
        </w:rPr>
        <w:t>de parameter 1,2,4-triazool</w:t>
      </w:r>
      <w:r w:rsidR="008508B9">
        <w:rPr>
          <w:rFonts w:cs="Calibri"/>
          <w:lang w:eastAsia="nl-BE"/>
        </w:rPr>
        <w:t xml:space="preserve"> </w:t>
      </w:r>
      <w:r w:rsidR="0092742F">
        <w:rPr>
          <w:rFonts w:cs="Calibri"/>
          <w:lang w:eastAsia="nl-BE"/>
        </w:rPr>
        <w:t>voor</w:t>
      </w:r>
      <w:r w:rsidR="006328BA" w:rsidRPr="00B92CAD">
        <w:rPr>
          <w:rFonts w:cs="Calibri"/>
          <w:lang w:eastAsia="nl-BE"/>
        </w:rPr>
        <w:t xml:space="preserve"> enkele leveringsgebieden in regio West</w:t>
      </w:r>
      <w:r w:rsidR="0092742F">
        <w:rPr>
          <w:rFonts w:cs="Calibri"/>
          <w:lang w:eastAsia="nl-BE"/>
        </w:rPr>
        <w:t xml:space="preserve">. </w:t>
      </w:r>
      <w:r w:rsidR="00467C07">
        <w:rPr>
          <w:rFonts w:cs="Calibri"/>
          <w:lang w:eastAsia="nl-BE"/>
        </w:rPr>
        <w:t xml:space="preserve">Regio West </w:t>
      </w:r>
      <w:r w:rsidR="006328BA" w:rsidRPr="00B92CAD">
        <w:rPr>
          <w:rFonts w:cs="Calibri"/>
          <w:lang w:eastAsia="nl-BE"/>
        </w:rPr>
        <w:t>zijnde de leveringsgebieden die water ontvangen van de waterproductiecentra De Blankaart, Zillebeke, Dikkebus</w:t>
      </w:r>
      <w:r w:rsidR="006328BA">
        <w:rPr>
          <w:rFonts w:cs="Calibri"/>
          <w:lang w:eastAsia="nl-BE"/>
        </w:rPr>
        <w:t xml:space="preserve"> en </w:t>
      </w:r>
      <w:r w:rsidR="006328BA" w:rsidRPr="00B92CAD">
        <w:rPr>
          <w:rFonts w:cs="Calibri"/>
          <w:lang w:eastAsia="nl-BE"/>
        </w:rPr>
        <w:t>De Gavers, voor een periode van 3 jaar.</w:t>
      </w:r>
      <w:r w:rsidR="006328BA">
        <w:rPr>
          <w:rFonts w:cs="Calibri"/>
          <w:lang w:eastAsia="nl-BE"/>
        </w:rPr>
        <w:t xml:space="preserve"> </w:t>
      </w:r>
      <w:r w:rsidR="006328BA" w:rsidRPr="1091B004">
        <w:rPr>
          <w:rFonts w:cs="Calibri"/>
          <w:lang w:eastAsia="nl-BE"/>
        </w:rPr>
        <w:t>Reden voor deze afwijkingsaanvraag is dat er in de betrokken waterproductiecentra (WPC)</w:t>
      </w:r>
      <w:r w:rsidR="00467C07">
        <w:rPr>
          <w:rFonts w:cs="Calibri"/>
          <w:lang w:eastAsia="nl-BE"/>
        </w:rPr>
        <w:t>,</w:t>
      </w:r>
      <w:r w:rsidR="006328BA" w:rsidRPr="1091B004">
        <w:rPr>
          <w:rFonts w:cs="Calibri"/>
          <w:lang w:eastAsia="nl-BE"/>
        </w:rPr>
        <w:t xml:space="preserve"> waar drinkwater uit oppervlaktewater wordt gewonnen, concentraties boven of gelijk aan de normwaarde van 0,1 µg/l werden vastgesteld voor 1,2,4-triazool</w:t>
      </w:r>
      <w:r w:rsidR="006328BA">
        <w:rPr>
          <w:rFonts w:cs="Calibri"/>
          <w:lang w:eastAsia="nl-BE"/>
        </w:rPr>
        <w:t>. Hierbij werden er concentraties tot 0,49 µg/l gemeten</w:t>
      </w:r>
      <w:r w:rsidR="006328BA" w:rsidRPr="1091B004">
        <w:rPr>
          <w:rFonts w:cs="Calibri"/>
          <w:lang w:eastAsia="nl-BE"/>
        </w:rPr>
        <w:t xml:space="preserve">.  </w:t>
      </w:r>
    </w:p>
    <w:p w14:paraId="6D9F8424" w14:textId="77777777" w:rsidR="003F06FD" w:rsidRDefault="003F06FD" w:rsidP="006328BA">
      <w:pPr>
        <w:spacing w:line="240" w:lineRule="auto"/>
        <w:jc w:val="both"/>
        <w:rPr>
          <w:rFonts w:cs="Calibri"/>
          <w:lang w:val="nl-NL"/>
        </w:rPr>
      </w:pPr>
    </w:p>
    <w:p w14:paraId="0B2ADBEE" w14:textId="39B63B61" w:rsidR="006328BA" w:rsidRDefault="006328BA" w:rsidP="006328BA">
      <w:pPr>
        <w:spacing w:line="240" w:lineRule="auto"/>
        <w:jc w:val="both"/>
        <w:rPr>
          <w:rFonts w:cs="Calibri"/>
          <w:lang w:val="nl-NL"/>
        </w:rPr>
      </w:pPr>
      <w:r>
        <w:rPr>
          <w:rFonts w:cs="Calibri"/>
          <w:lang w:val="nl-NL"/>
        </w:rPr>
        <w:t xml:space="preserve">Op 20/12/2024 gaf minister Brouns via een </w:t>
      </w:r>
      <w:r w:rsidRPr="00B40864">
        <w:rPr>
          <w:rFonts w:cs="Calibri"/>
          <w:lang w:val="nl-NL"/>
        </w:rPr>
        <w:t xml:space="preserve">Ministerieel besluit </w:t>
      </w:r>
      <w:r>
        <w:rPr>
          <w:rFonts w:cs="Calibri"/>
          <w:lang w:val="nl-NL"/>
        </w:rPr>
        <w:t xml:space="preserve">een tijdelijke </w:t>
      </w:r>
      <w:r w:rsidRPr="00B40864">
        <w:rPr>
          <w:rFonts w:cs="Calibri"/>
          <w:lang w:val="nl-NL"/>
        </w:rPr>
        <w:t xml:space="preserve">toelating tot afwijking van de kwaliteitseis voor de parameter pesticiden in water bestemd voor menselijke consumptie geleverd vanuit de waterproductiecentra De Blankaart, Dikkebus, Zillebeke en De Gavers van De Watergroep. Aan De Watergroep werd een afwijking voor een periode van 2 jaar verleend op de pesticidennorm voor de metaboliet 1,2,4-triazool </w:t>
      </w:r>
      <w:r w:rsidRPr="00B40864">
        <w:rPr>
          <w:rFonts w:cs="Calibri"/>
          <w:lang w:val="nl-NL"/>
        </w:rPr>
        <w:lastRenderedPageBreak/>
        <w:t>in een aantal leveringsgebieden in West-Vlaanderen</w:t>
      </w:r>
      <w:r w:rsidR="00CF71DA">
        <w:rPr>
          <w:rFonts w:cs="Calibri"/>
          <w:lang w:val="nl-NL"/>
        </w:rPr>
        <w:t>.</w:t>
      </w:r>
      <w:r w:rsidRPr="00B40864">
        <w:rPr>
          <w:rFonts w:cs="Calibri"/>
          <w:lang w:val="nl-NL"/>
        </w:rPr>
        <w:t xml:space="preserve"> </w:t>
      </w:r>
      <w:r w:rsidR="00CF71DA">
        <w:rPr>
          <w:rFonts w:cs="Calibri"/>
          <w:lang w:val="nl-NL"/>
        </w:rPr>
        <w:t xml:space="preserve">Zo geldt </w:t>
      </w:r>
      <w:r w:rsidRPr="00B40864">
        <w:rPr>
          <w:rFonts w:cs="Calibri"/>
          <w:lang w:val="nl-NL"/>
        </w:rPr>
        <w:t>voor 1,2,4-triazool tijdelijk een norm van 1 µg/l i.p.v. 0,1 µg/l</w:t>
      </w:r>
      <w:r w:rsidR="00275297">
        <w:rPr>
          <w:rFonts w:cs="Calibri"/>
          <w:lang w:val="nl-NL"/>
        </w:rPr>
        <w:t>. Deze laatste is</w:t>
      </w:r>
      <w:r w:rsidRPr="00B40864">
        <w:rPr>
          <w:rFonts w:cs="Calibri"/>
          <w:lang w:val="nl-NL"/>
        </w:rPr>
        <w:t xml:space="preserve"> de norm die geldt voor alle individuele pesticiden en hun relevante metabolieten. </w:t>
      </w:r>
      <w:r>
        <w:rPr>
          <w:rFonts w:cs="Calibri"/>
          <w:lang w:val="nl-NL"/>
        </w:rPr>
        <w:t xml:space="preserve">Aan deze tijdelijke afwijking werden een aantal voorwaarden gekoppeld: </w:t>
      </w:r>
    </w:p>
    <w:p w14:paraId="0643F57B" w14:textId="77777777" w:rsidR="006328BA" w:rsidRDefault="006328BA" w:rsidP="006328BA">
      <w:pPr>
        <w:pStyle w:val="Lijstalinea"/>
        <w:numPr>
          <w:ilvl w:val="0"/>
          <w:numId w:val="11"/>
        </w:numPr>
        <w:spacing w:line="240" w:lineRule="auto"/>
        <w:jc w:val="both"/>
        <w:rPr>
          <w:rFonts w:cs="Calibri"/>
          <w:lang w:val="nl-NL"/>
        </w:rPr>
      </w:pPr>
      <w:r>
        <w:rPr>
          <w:rFonts w:cs="Calibri"/>
          <w:lang w:val="nl-NL"/>
        </w:rPr>
        <w:t xml:space="preserve">Opvolging van de concentraties in afgewerkt drinkwater (aan de kraan of op een representatief punt in het openbaar waterdistributienetwerk) en in het ruwe water i.k.v. het controleprogramma en operationele monitoring; </w:t>
      </w:r>
    </w:p>
    <w:p w14:paraId="782D361D" w14:textId="77777777" w:rsidR="006328BA" w:rsidRDefault="006328BA" w:rsidP="006328BA">
      <w:pPr>
        <w:pStyle w:val="Lijstalinea"/>
        <w:numPr>
          <w:ilvl w:val="0"/>
          <w:numId w:val="11"/>
        </w:numPr>
        <w:spacing w:line="240" w:lineRule="auto"/>
        <w:jc w:val="both"/>
        <w:rPr>
          <w:rFonts w:cs="Calibri"/>
          <w:lang w:val="nl-NL"/>
        </w:rPr>
      </w:pPr>
      <w:r>
        <w:rPr>
          <w:rFonts w:cs="Calibri"/>
          <w:lang w:val="nl-NL"/>
        </w:rPr>
        <w:t xml:space="preserve">De opmaak van een actieplan met betrekking tot de herstelmaatregelen die worden genomen om in de toekomst aan de norm te voldoen (binnen 1 maand na publicatie besluit BS (20/1/2025) = 20/2/2025); </w:t>
      </w:r>
    </w:p>
    <w:p w14:paraId="7981ECD8" w14:textId="77777777" w:rsidR="006328BA" w:rsidRDefault="006328BA" w:rsidP="006328BA">
      <w:pPr>
        <w:pStyle w:val="Lijstalinea"/>
        <w:numPr>
          <w:ilvl w:val="0"/>
          <w:numId w:val="11"/>
        </w:numPr>
        <w:spacing w:line="240" w:lineRule="auto"/>
        <w:jc w:val="both"/>
        <w:rPr>
          <w:rFonts w:cs="Calibri"/>
          <w:lang w:val="nl-NL"/>
        </w:rPr>
      </w:pPr>
      <w:r>
        <w:rPr>
          <w:rFonts w:cs="Calibri"/>
          <w:lang w:val="nl-NL"/>
        </w:rPr>
        <w:t xml:space="preserve">De opmaak van een analyse i.v.m. de </w:t>
      </w:r>
      <w:r w:rsidRPr="00FC3135">
        <w:rPr>
          <w:rFonts w:cs="Calibri"/>
          <w:lang w:val="nl-NL"/>
        </w:rPr>
        <w:t>preventieve en mitigerende maatregelen</w:t>
      </w:r>
      <w:r>
        <w:rPr>
          <w:rFonts w:cs="Calibri"/>
          <w:lang w:val="nl-NL"/>
        </w:rPr>
        <w:t xml:space="preserve"> die in de onttrekkingsgebieden kunnen genomen worden (binnen 3 maanden na publicatie besluit BS (20/1/2025) = 20/4/2025). </w:t>
      </w:r>
    </w:p>
    <w:p w14:paraId="09A8B978" w14:textId="77777777" w:rsidR="003F06FD" w:rsidRPr="003F06FD" w:rsidRDefault="003F06FD" w:rsidP="003F06FD">
      <w:pPr>
        <w:spacing w:line="240" w:lineRule="auto"/>
        <w:jc w:val="both"/>
        <w:rPr>
          <w:rFonts w:cs="Calibri"/>
          <w:lang w:val="nl-NL"/>
        </w:rPr>
      </w:pPr>
    </w:p>
    <w:p w14:paraId="1BC016A6" w14:textId="1E4B2D5D" w:rsidR="006328BA" w:rsidRPr="00FD0C01" w:rsidRDefault="006328BA" w:rsidP="006328BA">
      <w:pPr>
        <w:rPr>
          <w:b/>
          <w:bCs/>
        </w:rPr>
      </w:pPr>
      <w:r w:rsidRPr="00FD0C01">
        <w:rPr>
          <w:b/>
          <w:bCs/>
        </w:rPr>
        <w:t xml:space="preserve">Wat zijn mogelijke </w:t>
      </w:r>
      <w:r w:rsidR="003F06FD">
        <w:rPr>
          <w:b/>
          <w:bCs/>
        </w:rPr>
        <w:t xml:space="preserve">(negatieve) </w:t>
      </w:r>
      <w:r w:rsidRPr="00FD0C01">
        <w:rPr>
          <w:b/>
          <w:bCs/>
        </w:rPr>
        <w:t xml:space="preserve">gezondheidseffecten van de inname van 1,2,4-triazool? </w:t>
      </w:r>
    </w:p>
    <w:p w14:paraId="5CB68241" w14:textId="77777777" w:rsidR="003F06FD" w:rsidRDefault="003F06FD" w:rsidP="006328BA">
      <w:pPr>
        <w:spacing w:line="240" w:lineRule="auto"/>
        <w:jc w:val="both"/>
      </w:pPr>
    </w:p>
    <w:p w14:paraId="3331A44A" w14:textId="569CE97F" w:rsidR="006328BA" w:rsidRPr="005D12B8" w:rsidRDefault="006328BA" w:rsidP="006328BA">
      <w:pPr>
        <w:spacing w:line="240" w:lineRule="auto"/>
        <w:jc w:val="both"/>
      </w:pPr>
      <w:r>
        <w:t xml:space="preserve">1,2,4-triazool is een </w:t>
      </w:r>
      <w:r w:rsidRPr="005D12B8">
        <w:t>afbraakproduct van triazoolbevattende chemische bestrijdingsmiddelen en geneesmiddelen die gebruikt worden tegen schimmels</w:t>
      </w:r>
      <w:r>
        <w:t>.</w:t>
      </w:r>
    </w:p>
    <w:p w14:paraId="12787763" w14:textId="77777777" w:rsidR="006328BA" w:rsidRDefault="006328BA" w:rsidP="006328BA">
      <w:pPr>
        <w:spacing w:line="240" w:lineRule="auto"/>
        <w:jc w:val="both"/>
      </w:pPr>
    </w:p>
    <w:p w14:paraId="3288D5E6" w14:textId="77777777" w:rsidR="006328BA" w:rsidRPr="00FD0C01" w:rsidRDefault="006328BA" w:rsidP="006328BA">
      <w:pPr>
        <w:spacing w:line="240" w:lineRule="auto"/>
        <w:jc w:val="both"/>
      </w:pPr>
      <w:r>
        <w:t>Er zijn</w:t>
      </w:r>
      <w:r w:rsidRPr="00FD0C01">
        <w:t xml:space="preserve"> weinig gegevens</w:t>
      </w:r>
      <w:r w:rsidRPr="00FD0C01">
        <w:rPr>
          <w:b/>
          <w:bCs/>
        </w:rPr>
        <w:t xml:space="preserve"> </w:t>
      </w:r>
      <w:r w:rsidRPr="00FD0C01">
        <w:t xml:space="preserve">beschikbaar over de blootstellingsroutes en de mogelijke </w:t>
      </w:r>
      <w:r>
        <w:t xml:space="preserve">negatieve </w:t>
      </w:r>
      <w:r w:rsidRPr="00FD0C01">
        <w:t xml:space="preserve">gezondheidseffecten bij de mens. </w:t>
      </w:r>
    </w:p>
    <w:p w14:paraId="4682B697" w14:textId="77777777" w:rsidR="006328BA" w:rsidRDefault="006328BA" w:rsidP="006328BA">
      <w:pPr>
        <w:spacing w:line="240" w:lineRule="auto"/>
        <w:jc w:val="both"/>
      </w:pPr>
    </w:p>
    <w:p w14:paraId="1FA39720" w14:textId="77777777" w:rsidR="006328BA" w:rsidRPr="00FD0C01" w:rsidRDefault="006328BA" w:rsidP="006328BA">
      <w:pPr>
        <w:spacing w:line="240" w:lineRule="auto"/>
        <w:jc w:val="both"/>
      </w:pPr>
      <w:r w:rsidRPr="00FD0C01">
        <w:t>Er zijn wel proefdierstudies en in vitro studies (= studies met micro-organismen/cellen) beschikbaar. De meeste studies gebeur</w:t>
      </w:r>
      <w:r>
        <w:t>d</w:t>
      </w:r>
      <w:r w:rsidRPr="00FD0C01">
        <w:t xml:space="preserve">en wel met verschillende triazool-verbindingen en niet specifiek met het afbraakproduct 1,2,4-triazool. </w:t>
      </w:r>
    </w:p>
    <w:p w14:paraId="61E9590D" w14:textId="77777777" w:rsidR="006328BA" w:rsidRDefault="006328BA" w:rsidP="006328BA">
      <w:pPr>
        <w:spacing w:line="240" w:lineRule="auto"/>
        <w:jc w:val="both"/>
      </w:pPr>
    </w:p>
    <w:p w14:paraId="500A2AED" w14:textId="77777777" w:rsidR="006328BA" w:rsidRPr="006A5023" w:rsidRDefault="006328BA" w:rsidP="006328BA">
      <w:pPr>
        <w:spacing w:line="240" w:lineRule="auto"/>
        <w:jc w:val="both"/>
      </w:pPr>
      <w:r w:rsidRPr="00FD0C01">
        <w:t xml:space="preserve">Beschikbare studies bij vnl. ratten en muizen geven aan dat 1,2,4-triazool het zenuwstelsel kan aantasten en dat het effecten kan hebben op de voortplanting. Daarnaast zijn er aanwijzingen dat 1,2,4-triazool mogelijk hormoonverstorend is. Een evaluatie </w:t>
      </w:r>
      <w:r>
        <w:t xml:space="preserve">bij REACH </w:t>
      </w:r>
      <w:r w:rsidRPr="00FD0C01">
        <w:t>is momenteel lopende.</w:t>
      </w:r>
      <w:r>
        <w:t xml:space="preserve"> </w:t>
      </w:r>
      <w:r w:rsidRPr="006A5023">
        <w:rPr>
          <w:lang w:val="nl-NL"/>
        </w:rPr>
        <w:t xml:space="preserve">REACH is een systeem voor registratie, evaluatie en toelating van chemische stoffen die in de Europese Unie geproduceerd of geïmporteerd worden. </w:t>
      </w:r>
      <w:r w:rsidRPr="006A5023">
        <w:t>REACH staat voor Registratie, Evaluatie, Autorisatie en restrictie van Chemische stoffen.</w:t>
      </w:r>
    </w:p>
    <w:p w14:paraId="311DB2D2" w14:textId="77777777" w:rsidR="006328BA" w:rsidRDefault="006328BA" w:rsidP="006328BA">
      <w:pPr>
        <w:spacing w:line="240" w:lineRule="auto"/>
        <w:jc w:val="both"/>
      </w:pPr>
    </w:p>
    <w:p w14:paraId="5B61EB45" w14:textId="77777777" w:rsidR="006328BA" w:rsidRPr="00FD0C01" w:rsidRDefault="006328BA" w:rsidP="006328BA">
      <w:pPr>
        <w:spacing w:line="240" w:lineRule="auto"/>
        <w:jc w:val="both"/>
      </w:pPr>
      <w:r w:rsidRPr="00FD0C01">
        <w:t xml:space="preserve">Er zijn geen aanwijzingen dat 1,2,4-triazool langdurig wordt opgeslagen in het menselijk lichaam. Na orale inname verspreidt het zich in gans het lichaam maar het wordt snel terug uitgescheiden via de urine. </w:t>
      </w:r>
    </w:p>
    <w:p w14:paraId="568B8CC2" w14:textId="77777777" w:rsidR="006328BA" w:rsidRDefault="006328BA" w:rsidP="006328BA">
      <w:pPr>
        <w:rPr>
          <w:b/>
          <w:bCs/>
        </w:rPr>
      </w:pPr>
    </w:p>
    <w:p w14:paraId="016F7E9E" w14:textId="77777777" w:rsidR="003F06FD" w:rsidRDefault="003F06FD" w:rsidP="006328BA">
      <w:pPr>
        <w:rPr>
          <w:b/>
          <w:bCs/>
        </w:rPr>
      </w:pPr>
    </w:p>
    <w:p w14:paraId="42A3CE63" w14:textId="140E1C10" w:rsidR="006328BA" w:rsidRDefault="006328BA" w:rsidP="006328BA">
      <w:pPr>
        <w:rPr>
          <w:b/>
          <w:bCs/>
        </w:rPr>
      </w:pPr>
      <w:r w:rsidRPr="19E88DC6">
        <w:rPr>
          <w:b/>
          <w:bCs/>
        </w:rPr>
        <w:t xml:space="preserve">Wat is het risico voor de gezondheid van de gebruikers van het leidingwater met concentraties van 1,2,4-triazool boven de wettelijke norm van 0,1 µg/l? </w:t>
      </w:r>
    </w:p>
    <w:p w14:paraId="65AA6719" w14:textId="7FF7D5E8" w:rsidR="19E88DC6" w:rsidRDefault="19E88DC6" w:rsidP="19E88DC6">
      <w:pPr>
        <w:rPr>
          <w:b/>
          <w:bCs/>
        </w:rPr>
      </w:pPr>
    </w:p>
    <w:p w14:paraId="72E291F8" w14:textId="17EBFC9D" w:rsidR="5B508157" w:rsidRDefault="5B508157" w:rsidP="114436BC">
      <w:pPr>
        <w:rPr>
          <w:rFonts w:eastAsia="Calibri" w:cs="Calibri"/>
          <w:i/>
          <w:iCs/>
          <w:color w:val="0F4B80"/>
        </w:rPr>
      </w:pPr>
      <w:r w:rsidRPr="114436BC">
        <w:rPr>
          <w:rFonts w:ascii="Segoe UI" w:eastAsia="Segoe UI" w:hAnsi="Segoe UI" w:cs="Segoe UI"/>
          <w:i/>
          <w:iCs/>
          <w:color w:val="0F4B80"/>
          <w:sz w:val="21"/>
          <w:szCs w:val="21"/>
        </w:rPr>
        <w:t>De wettelijke norm van 0,1 µg/l voor pesticiden in drinkwater is gebaseerd op de vroegere detectielimiet en niet op gezondheidsrisico's. Voor 1,2,4-triazool zijn er verschillende gezondheidskundige toetsingswaarden, zoals 4,5 µg/l (voorzorgswaarde</w:t>
      </w:r>
      <w:r w:rsidR="6A903501" w:rsidRPr="114436BC">
        <w:rPr>
          <w:rFonts w:ascii="Segoe UI" w:eastAsia="Segoe UI" w:hAnsi="Segoe UI" w:cs="Segoe UI"/>
          <w:i/>
          <w:iCs/>
          <w:color w:val="0F4B80"/>
          <w:sz w:val="21"/>
          <w:szCs w:val="21"/>
        </w:rPr>
        <w:t>, VITO</w:t>
      </w:r>
      <w:r w:rsidRPr="114436BC">
        <w:rPr>
          <w:rFonts w:ascii="Segoe UI" w:eastAsia="Segoe UI" w:hAnsi="Segoe UI" w:cs="Segoe UI"/>
          <w:i/>
          <w:iCs/>
          <w:color w:val="0F4B80"/>
          <w:sz w:val="21"/>
          <w:szCs w:val="21"/>
        </w:rPr>
        <w:t>), 30 µg/l (US-EPA) en 138 µg/l (</w:t>
      </w:r>
      <w:r w:rsidR="50A40DCA" w:rsidRPr="114436BC">
        <w:rPr>
          <w:rFonts w:ascii="Segoe UI" w:eastAsia="Segoe UI" w:hAnsi="Segoe UI" w:cs="Segoe UI"/>
          <w:i/>
          <w:iCs/>
          <w:color w:val="0F4B80"/>
          <w:sz w:val="21"/>
          <w:szCs w:val="21"/>
        </w:rPr>
        <w:t xml:space="preserve">DZORG o.b.v. </w:t>
      </w:r>
      <w:r w:rsidRPr="114436BC">
        <w:rPr>
          <w:rFonts w:ascii="Segoe UI" w:eastAsia="Segoe UI" w:hAnsi="Segoe UI" w:cs="Segoe UI"/>
          <w:i/>
          <w:iCs/>
          <w:color w:val="0F4B80"/>
          <w:sz w:val="21"/>
          <w:szCs w:val="21"/>
        </w:rPr>
        <w:t>EFSA). De gemeten concentraties van 1,2,4-triazool in drinkwater zijn veel lager dan deze waarden</w:t>
      </w:r>
      <w:r w:rsidR="07C4AAEB" w:rsidRPr="114436BC">
        <w:rPr>
          <w:rFonts w:ascii="Segoe UI" w:eastAsia="Segoe UI" w:hAnsi="Segoe UI" w:cs="Segoe UI"/>
          <w:i/>
          <w:iCs/>
          <w:color w:val="0F4B80"/>
          <w:sz w:val="21"/>
          <w:szCs w:val="21"/>
        </w:rPr>
        <w:t xml:space="preserve">. Er worden dus geen negatieve gezondheidseffecten verwacht bij langdurige consumptie van het water. </w:t>
      </w:r>
    </w:p>
    <w:p w14:paraId="6080DA8A" w14:textId="77777777" w:rsidR="003F06FD" w:rsidRDefault="003F06FD" w:rsidP="006328BA">
      <w:pPr>
        <w:spacing w:line="240" w:lineRule="auto"/>
        <w:rPr>
          <w:rFonts w:cs="Calibri"/>
        </w:rPr>
      </w:pPr>
    </w:p>
    <w:p w14:paraId="213172A0" w14:textId="42661001" w:rsidR="006328BA" w:rsidRPr="00CC2F66" w:rsidRDefault="006328BA" w:rsidP="006328BA">
      <w:pPr>
        <w:spacing w:line="240" w:lineRule="auto"/>
        <w:rPr>
          <w:rFonts w:cs="Calibri"/>
        </w:rPr>
      </w:pPr>
      <w:r>
        <w:rPr>
          <w:rFonts w:cs="Calibri"/>
        </w:rPr>
        <w:t>De</w:t>
      </w:r>
      <w:r w:rsidRPr="00CC2F66">
        <w:rPr>
          <w:rFonts w:cs="Calibri"/>
        </w:rPr>
        <w:t xml:space="preserve"> </w:t>
      </w:r>
      <w:r w:rsidRPr="00A80513">
        <w:rPr>
          <w:rFonts w:cs="Calibri"/>
          <w:u w:val="single"/>
        </w:rPr>
        <w:t>wettelijke</w:t>
      </w:r>
      <w:r>
        <w:rPr>
          <w:rFonts w:cs="Calibri"/>
          <w:u w:val="single"/>
        </w:rPr>
        <w:t xml:space="preserve"> drinkwater</w:t>
      </w:r>
      <w:r w:rsidRPr="00A80513">
        <w:rPr>
          <w:rFonts w:cs="Calibri"/>
          <w:u w:val="single"/>
        </w:rPr>
        <w:t>norm van 0,1 µg/l</w:t>
      </w:r>
      <w:r w:rsidRPr="00CC2F66">
        <w:rPr>
          <w:rFonts w:cs="Calibri"/>
        </w:rPr>
        <w:t xml:space="preserve"> voor pesticiden en hun zogenaamde relevante metabolieten</w:t>
      </w:r>
      <w:r>
        <w:rPr>
          <w:rFonts w:cs="Calibri"/>
        </w:rPr>
        <w:t xml:space="preserve"> (= </w:t>
      </w:r>
      <w:r w:rsidRPr="00CC2F66">
        <w:rPr>
          <w:rFonts w:cs="Calibri"/>
        </w:rPr>
        <w:t>afbraakproducten</w:t>
      </w:r>
      <w:r>
        <w:rPr>
          <w:rFonts w:cs="Calibri"/>
        </w:rPr>
        <w:t>)</w:t>
      </w:r>
      <w:r w:rsidRPr="00CC2F66">
        <w:rPr>
          <w:rFonts w:cs="Calibri"/>
        </w:rPr>
        <w:t xml:space="preserve"> (waartoe 1,2,4-triazool </w:t>
      </w:r>
      <w:r>
        <w:rPr>
          <w:rFonts w:cs="Calibri"/>
        </w:rPr>
        <w:t>behoort</w:t>
      </w:r>
      <w:r w:rsidRPr="00CC2F66">
        <w:rPr>
          <w:rFonts w:cs="Calibri"/>
        </w:rPr>
        <w:t xml:space="preserve">) </w:t>
      </w:r>
      <w:r>
        <w:rPr>
          <w:rFonts w:cs="Calibri"/>
        </w:rPr>
        <w:t xml:space="preserve">heeft </w:t>
      </w:r>
      <w:r w:rsidRPr="00DD239A">
        <w:rPr>
          <w:rFonts w:cs="Calibri"/>
        </w:rPr>
        <w:t xml:space="preserve">geen </w:t>
      </w:r>
      <w:r w:rsidRPr="00CC2F66">
        <w:rPr>
          <w:rFonts w:cs="Calibri"/>
        </w:rPr>
        <w:t xml:space="preserve">gezondheidskundige basis. Het uitgangspunt voor deze norm is dat pesticiden als ongewenst worden beschouwd in drinkwater. Daarom werd in 1998 de toenmalige gangbare detectielimiet van 0,1 µg/l als norm opgenomen die tot op heden behouden werd in zowel de Europese drinkwaterrichtlijn als het Vlaams drinkwaterbesluit. </w:t>
      </w:r>
    </w:p>
    <w:p w14:paraId="52848EC5" w14:textId="77777777" w:rsidR="003F06FD" w:rsidRDefault="003F06FD" w:rsidP="006328BA">
      <w:pPr>
        <w:spacing w:line="240" w:lineRule="auto"/>
        <w:jc w:val="both"/>
      </w:pPr>
    </w:p>
    <w:p w14:paraId="0107229F" w14:textId="57F44EEC" w:rsidR="006328BA" w:rsidRPr="00FA33F0" w:rsidRDefault="006328BA" w:rsidP="006328BA">
      <w:pPr>
        <w:spacing w:line="240" w:lineRule="auto"/>
        <w:jc w:val="both"/>
      </w:pPr>
      <w:r>
        <w:lastRenderedPageBreak/>
        <w:t xml:space="preserve">Om de gezondheidsrisico’s in te schatten, moeten de gemeten concentraties in drinkwater getoetst worden aan zogenaamde </w:t>
      </w:r>
      <w:r w:rsidRPr="00A80513">
        <w:rPr>
          <w:u w:val="single"/>
        </w:rPr>
        <w:t>gezondheidskundige toetsingswaarden</w:t>
      </w:r>
      <w:r>
        <w:t xml:space="preserve">. </w:t>
      </w:r>
      <w:r w:rsidRPr="00FA33F0">
        <w:t>Een gezondheidskundige toetsingswaarde is een concentratie van een stof (bv. in drinkwater) waaronder geen negatieve gezondheidseffecten bij (levenslange) blootstelling worden verwacht</w:t>
      </w:r>
      <w:r>
        <w:rPr>
          <w:rStyle w:val="Voetnootmarkering"/>
        </w:rPr>
        <w:footnoteReference w:id="2"/>
      </w:r>
      <w:r w:rsidRPr="00FA33F0">
        <w:t>.</w:t>
      </w:r>
      <w:r w:rsidRPr="00FA33F0">
        <w:rPr>
          <w:rFonts w:eastAsia="Aptos" w:cs="Times New Roman"/>
          <w:color w:val="373636" w:themeColor="text1"/>
          <w:kern w:val="24"/>
          <w:lang w:eastAsia="nl-BE"/>
        </w:rPr>
        <w:t xml:space="preserve"> </w:t>
      </w:r>
    </w:p>
    <w:p w14:paraId="09C7CD9C" w14:textId="77777777" w:rsidR="006328BA" w:rsidRPr="009959DA" w:rsidRDefault="006328BA" w:rsidP="006328BA">
      <w:pPr>
        <w:spacing w:line="240" w:lineRule="auto"/>
        <w:jc w:val="both"/>
      </w:pPr>
      <w:r w:rsidRPr="009959DA">
        <w:t xml:space="preserve">Voor 1,2,4-triazool in drinkwater zijn er geen gezondheidskundige toetsingswaarden beschikbaar in internationale drinkwaterrichtlijnen zoals die van de Wereldgezondheidsorganisatie of </w:t>
      </w:r>
      <w:r>
        <w:t>US-EPA</w:t>
      </w:r>
      <w:r w:rsidRPr="009959DA">
        <w:t xml:space="preserve"> (Environmental Protection Agency;</w:t>
      </w:r>
      <w:r>
        <w:t xml:space="preserve"> het Amerikaanse agentschap</w:t>
      </w:r>
      <w:r w:rsidRPr="009959DA">
        <w:t xml:space="preserve"> belast met de bescherming van de volksgezondheid en het milieu). </w:t>
      </w:r>
    </w:p>
    <w:p w14:paraId="385BCF6C" w14:textId="77777777" w:rsidR="003F06FD" w:rsidRDefault="003F06FD" w:rsidP="006328BA">
      <w:pPr>
        <w:spacing w:line="240" w:lineRule="auto"/>
        <w:jc w:val="both"/>
      </w:pPr>
    </w:p>
    <w:p w14:paraId="512794B7" w14:textId="24CF1B6C" w:rsidR="006328BA" w:rsidRPr="009959DA" w:rsidRDefault="006328BA" w:rsidP="006328BA">
      <w:pPr>
        <w:spacing w:line="240" w:lineRule="auto"/>
        <w:jc w:val="both"/>
      </w:pPr>
      <w:r>
        <w:t xml:space="preserve">Volgende gezondheidskundige toetsingswaarden voor 1,2,4-triazool in drinkwater zijn wel beschikbaar: </w:t>
      </w:r>
      <w:r w:rsidRPr="009959DA">
        <w:t> </w:t>
      </w:r>
    </w:p>
    <w:p w14:paraId="76811AEA" w14:textId="77777777" w:rsidR="006328BA" w:rsidRPr="009959DA" w:rsidRDefault="006328BA" w:rsidP="006328BA">
      <w:pPr>
        <w:numPr>
          <w:ilvl w:val="0"/>
          <w:numId w:val="12"/>
        </w:numPr>
        <w:tabs>
          <w:tab w:val="left" w:pos="720"/>
        </w:tabs>
        <w:spacing w:after="160" w:line="240" w:lineRule="auto"/>
        <w:jc w:val="both"/>
      </w:pPr>
      <w:r w:rsidRPr="009959DA">
        <w:t xml:space="preserve">4,5 µg/l – dit is een voorzorgswaarde die door VITO op basis van een eenvoudige methode werd bepaald in opdracht van VMM; dergelijke opdracht gebeurt telkens wanneer er nieuwe stoffen in het drinkwater worden vastgesteld. Het voordeel van de gebruikte methode is dat deze waarde snel kan worden bepaald. </w:t>
      </w:r>
    </w:p>
    <w:p w14:paraId="51F270DA" w14:textId="7F306B9D" w:rsidR="006328BA" w:rsidRPr="009959DA" w:rsidRDefault="006328BA" w:rsidP="006328BA">
      <w:pPr>
        <w:numPr>
          <w:ilvl w:val="0"/>
          <w:numId w:val="12"/>
        </w:numPr>
        <w:tabs>
          <w:tab w:val="left" w:pos="720"/>
        </w:tabs>
        <w:spacing w:after="160" w:line="240" w:lineRule="auto"/>
        <w:jc w:val="both"/>
      </w:pPr>
      <w:r w:rsidRPr="009959DA">
        <w:t>30 µg/l – dit is een referentiewaarde van US-EPA uit 2006</w:t>
      </w:r>
      <w:r w:rsidR="002E7E3C">
        <w:rPr>
          <w:rStyle w:val="Voetnootmarkering"/>
        </w:rPr>
        <w:footnoteReference w:id="3"/>
      </w:r>
      <w:r w:rsidRPr="009959DA">
        <w:t xml:space="preserve">. EPA heeft zo voor een 430-tal pesticiden een waarde bepaalt op basis van de evaluatie van toxicologische gegevens. De waarden worden gebruikt om na te gaan of de detectie van een bepaald pesticide een potentieel gezondheidsrisico inhoudt [en om te helpen bij het prioriteren in de monitoring die gebeurt]. </w:t>
      </w:r>
    </w:p>
    <w:p w14:paraId="5CE0401F" w14:textId="48DDF07F" w:rsidR="006328BA" w:rsidRDefault="006328BA" w:rsidP="006328BA">
      <w:pPr>
        <w:pStyle w:val="Lijstalinea"/>
        <w:numPr>
          <w:ilvl w:val="0"/>
          <w:numId w:val="12"/>
        </w:numPr>
        <w:spacing w:after="160" w:line="240" w:lineRule="auto"/>
        <w:jc w:val="both"/>
      </w:pPr>
      <w:r w:rsidRPr="009959DA">
        <w:t xml:space="preserve">138 µg/l – dit is een toetsingswaarde die </w:t>
      </w:r>
      <w:r>
        <w:t xml:space="preserve">richtinggevend </w:t>
      </w:r>
      <w:r w:rsidRPr="009959DA">
        <w:t xml:space="preserve">door </w:t>
      </w:r>
      <w:r>
        <w:t xml:space="preserve">het Departement Zorg </w:t>
      </w:r>
      <w:r w:rsidRPr="009959DA">
        <w:t>werd afgeleid op basis van een rapport van het Europese voedselagentschap EFSA uit 2018</w:t>
      </w:r>
      <w:r w:rsidR="0032383D">
        <w:rPr>
          <w:rStyle w:val="Voetnootmarkering"/>
        </w:rPr>
        <w:footnoteReference w:id="4"/>
      </w:r>
      <w:r w:rsidRPr="009959DA">
        <w:t>.</w:t>
      </w:r>
    </w:p>
    <w:p w14:paraId="2208D8CE" w14:textId="77777777" w:rsidR="006328BA" w:rsidRDefault="006328BA" w:rsidP="006328BA">
      <w:pPr>
        <w:spacing w:line="240" w:lineRule="auto"/>
        <w:jc w:val="both"/>
        <w:rPr>
          <w:rFonts w:cs="Calibri"/>
          <w:lang w:val="nl-NL"/>
        </w:rPr>
      </w:pPr>
      <w:r>
        <w:t xml:space="preserve">De gemeten concentraties 1,2,4-triazool in het drinkwater (cf. max. 0,49 µg/l) liggen immers ruim onder deze gezondheidskundige toetsingswaarden. Er is dus geen gevaar voor de gezondheid van de gebruikers bij langdurige consumptie van het drinkwater. </w:t>
      </w:r>
    </w:p>
    <w:p w14:paraId="48720DC2" w14:textId="77777777" w:rsidR="006328BA" w:rsidRDefault="006328BA" w:rsidP="006328BA">
      <w:pPr>
        <w:rPr>
          <w:b/>
          <w:bCs/>
          <w:lang w:val="nl-NL"/>
        </w:rPr>
      </w:pPr>
    </w:p>
    <w:p w14:paraId="24B1650A" w14:textId="77777777" w:rsidR="003F06FD" w:rsidRDefault="003F06FD" w:rsidP="006328BA">
      <w:pPr>
        <w:rPr>
          <w:b/>
          <w:bCs/>
          <w:lang w:val="nl-NL"/>
        </w:rPr>
      </w:pPr>
    </w:p>
    <w:p w14:paraId="5A86AAC9" w14:textId="77777777" w:rsidR="006328BA" w:rsidRDefault="006328BA" w:rsidP="006328BA">
      <w:pPr>
        <w:rPr>
          <w:b/>
          <w:bCs/>
          <w:lang w:val="nl-NL"/>
        </w:rPr>
      </w:pPr>
      <w:r>
        <w:rPr>
          <w:b/>
          <w:bCs/>
          <w:lang w:val="nl-NL"/>
        </w:rPr>
        <w:t xml:space="preserve">Hoe wordt een gezondheidskundige toetsingswaarde voor een stof in drinkwater bepaald? </w:t>
      </w:r>
    </w:p>
    <w:p w14:paraId="38DF7475" w14:textId="77777777" w:rsidR="003F06FD" w:rsidRDefault="003F06FD" w:rsidP="006328BA">
      <w:pPr>
        <w:rPr>
          <w:lang w:val="nl-NL"/>
        </w:rPr>
      </w:pPr>
    </w:p>
    <w:p w14:paraId="7B52BCA7" w14:textId="3D0AB5F0" w:rsidR="006328BA" w:rsidRDefault="003F06FD" w:rsidP="006328BA">
      <w:pPr>
        <w:rPr>
          <w:lang w:val="nl-NL"/>
        </w:rPr>
      </w:pPr>
      <w:r w:rsidRPr="00C62FE8">
        <w:rPr>
          <w:noProof/>
        </w:rPr>
        <mc:AlternateContent>
          <mc:Choice Requires="wps">
            <w:drawing>
              <wp:anchor distT="0" distB="0" distL="114300" distR="114300" simplePos="0" relativeHeight="251658241" behindDoc="0" locked="0" layoutInCell="1" allowOverlap="1" wp14:anchorId="275B6560" wp14:editId="5EF28A28">
                <wp:simplePos x="0" y="0"/>
                <wp:positionH relativeFrom="margin">
                  <wp:align>left</wp:align>
                </wp:positionH>
                <wp:positionV relativeFrom="paragraph">
                  <wp:posOffset>445135</wp:posOffset>
                </wp:positionV>
                <wp:extent cx="6286500" cy="1189355"/>
                <wp:effectExtent l="0" t="0" r="19050" b="10795"/>
                <wp:wrapSquare wrapText="bothSides"/>
                <wp:docPr id="11" name="Tekstvak 10">
                  <a:extLst xmlns:a="http://schemas.openxmlformats.org/drawingml/2006/main">
                    <a:ext uri="{FF2B5EF4-FFF2-40B4-BE49-F238E27FC236}">
                      <a16:creationId xmlns:a16="http://schemas.microsoft.com/office/drawing/2014/main" id="{020F06A0-3287-4731-1733-FD389CC78636}"/>
                    </a:ext>
                  </a:extLst>
                </wp:docPr>
                <wp:cNvGraphicFramePr/>
                <a:graphic xmlns:a="http://schemas.openxmlformats.org/drawingml/2006/main">
                  <a:graphicData uri="http://schemas.microsoft.com/office/word/2010/wordprocessingShape">
                    <wps:wsp>
                      <wps:cNvSpPr txBox="1"/>
                      <wps:spPr>
                        <a:xfrm>
                          <a:off x="0" y="0"/>
                          <a:ext cx="6286500" cy="1189355"/>
                        </a:xfrm>
                        <a:prstGeom prst="rect">
                          <a:avLst/>
                        </a:prstGeom>
                        <a:noFill/>
                        <a:ln w="3175">
                          <a:solidFill>
                            <a:schemeClr val="tx1"/>
                          </a:solidFill>
                        </a:ln>
                      </wps:spPr>
                      <wps:txbx>
                        <w:txbxContent>
                          <w:p w14:paraId="5A224060" w14:textId="77777777" w:rsidR="00F15A94" w:rsidRPr="00C62FE8" w:rsidRDefault="00F10F89" w:rsidP="006328BA">
                            <w:pPr>
                              <w:spacing w:line="256" w:lineRule="auto"/>
                              <w:rPr>
                                <w:rFonts w:ascii="Cambria Math" w:eastAsia="Aptos" w:hAnsi="Cambria Math"/>
                                <w:b/>
                                <w:bCs/>
                                <w:i/>
                                <w:iCs/>
                                <w:color w:val="373636" w:themeColor="text1"/>
                                <w:kern w:val="24"/>
                              </w:rPr>
                            </w:pPr>
                            <m:oMathPara>
                              <m:oMathParaPr>
                                <m:jc m:val="centerGroup"/>
                              </m:oMathParaPr>
                              <m:oMath>
                                <m:r>
                                  <m:rPr>
                                    <m:sty m:val="bi"/>
                                  </m:rPr>
                                  <w:rPr>
                                    <w:rFonts w:ascii="Cambria Math" w:eastAsia="Aptos" w:hAnsi="Cambria Math"/>
                                    <w:color w:val="373636" w:themeColor="text1"/>
                                    <w:kern w:val="24"/>
                                  </w:rPr>
                                  <m:t>gezondheidskundige toetsingswaarde voor stof in drinkwater</m:t>
                                </m:r>
                                <m:r>
                                  <m:rPr>
                                    <m:sty m:val="b"/>
                                  </m:rPr>
                                  <w:rPr>
                                    <w:rFonts w:ascii="Cambria Math" w:eastAsia="Aptos" w:hAnsi="Cambria Math"/>
                                    <w:color w:val="373636" w:themeColor="text1"/>
                                    <w:kern w:val="24"/>
                                  </w:rPr>
                                  <m:t> </m:t>
                                </m:r>
                                <m:d>
                                  <m:dPr>
                                    <m:ctrlPr>
                                      <w:rPr>
                                        <w:rFonts w:ascii="Cambria Math" w:eastAsia="Aptos" w:hAnsi="Cambria Math"/>
                                        <w:i/>
                                        <w:iCs/>
                                        <w:color w:val="373636" w:themeColor="text1"/>
                                        <w:kern w:val="24"/>
                                      </w:rPr>
                                    </m:ctrlPr>
                                  </m:dPr>
                                  <m:e>
                                    <m:r>
                                      <m:rPr>
                                        <m:sty m:val="p"/>
                                      </m:rPr>
                                      <w:rPr>
                                        <w:rFonts w:ascii="Cambria Math" w:eastAsia="Aptos" w:hAnsi="Cambria Math"/>
                                        <w:color w:val="373636" w:themeColor="text1"/>
                                        <w:kern w:val="24"/>
                                      </w:rPr>
                                      <m:t>µg per liter</m:t>
                                    </m:r>
                                  </m:e>
                                </m:d>
                              </m:oMath>
                            </m:oMathPara>
                          </w:p>
                          <w:p w14:paraId="0403B139" w14:textId="77777777" w:rsidR="00F15A94" w:rsidRPr="00C62FE8" w:rsidRDefault="00F10F89" w:rsidP="006328BA">
                            <w:pPr>
                              <w:spacing w:line="256" w:lineRule="auto"/>
                              <w:rPr>
                                <w:rFonts w:ascii="Cambria Math" w:eastAsia="Aptos" w:hAnsi="Cambria Math"/>
                                <w:b/>
                                <w:bCs/>
                                <w:color w:val="373636" w:themeColor="text1"/>
                                <w:kern w:val="24"/>
                              </w:rPr>
                            </w:pPr>
                            <m:oMathPara>
                              <m:oMathParaPr>
                                <m:jc m:val="centerGroup"/>
                              </m:oMathParaPr>
                              <m:oMath>
                                <m:r>
                                  <m:rPr>
                                    <m:sty m:val="b"/>
                                  </m:rPr>
                                  <w:rPr>
                                    <w:rFonts w:ascii="Cambria Math" w:eastAsia="Aptos" w:hAnsi="Cambria Math"/>
                                    <w:color w:val="373636" w:themeColor="text1"/>
                                    <w:kern w:val="24"/>
                                  </w:rPr>
                                  <m:t>=</m:t>
                                </m:r>
                              </m:oMath>
                            </m:oMathPara>
                          </w:p>
                          <w:p w14:paraId="1CB298AC" w14:textId="77777777" w:rsidR="00F15A94" w:rsidRDefault="008E0C8D" w:rsidP="006328BA">
                            <w:pPr>
                              <w:spacing w:line="256" w:lineRule="auto"/>
                              <w:rPr>
                                <w:rFonts w:ascii="Cambria Math" w:eastAsia="Times New Roman" w:hAnsi="Times New Roman"/>
                                <w:b/>
                                <w:bCs/>
                                <w:i/>
                                <w:iCs/>
                                <w:color w:val="373636" w:themeColor="text1"/>
                                <w:kern w:val="24"/>
                                <w:sz w:val="36"/>
                                <w:szCs w:val="36"/>
                              </w:rPr>
                            </w:pPr>
                            <m:oMathPara>
                              <m:oMathParaPr>
                                <m:jc m:val="centerGroup"/>
                              </m:oMathParaPr>
                              <m:oMath>
                                <m:f>
                                  <m:fPr>
                                    <m:ctrlPr>
                                      <w:rPr>
                                        <w:rFonts w:ascii="Cambria Math" w:hAnsi="Cambria Math"/>
                                        <w:b/>
                                        <w:bCs/>
                                        <w:i/>
                                        <w:iCs/>
                                        <w:color w:val="373636" w:themeColor="text1"/>
                                        <w:kern w:val="24"/>
                                      </w:rPr>
                                    </m:ctrlPr>
                                  </m:fPr>
                                  <m:num>
                                    <m:r>
                                      <m:rPr>
                                        <m:sty m:val="bi"/>
                                      </m:rPr>
                                      <w:rPr>
                                        <w:rFonts w:ascii="Cambria Math" w:eastAsia="Aptos" w:hAnsi="Cambria Math"/>
                                        <w:color w:val="373636" w:themeColor="text1"/>
                                        <w:kern w:val="24"/>
                                      </w:rPr>
                                      <m:t>TDI</m:t>
                                    </m:r>
                                    <m:r>
                                      <m:rPr>
                                        <m:sty m:val="b"/>
                                      </m:rPr>
                                      <w:rPr>
                                        <w:rFonts w:ascii="Cambria Math" w:eastAsia="Aptos" w:hAnsi="Cambria Math"/>
                                        <w:color w:val="373636" w:themeColor="text1"/>
                                        <w:kern w:val="24"/>
                                      </w:rPr>
                                      <m:t> </m:t>
                                    </m:r>
                                    <m:r>
                                      <m:rPr>
                                        <m:sty m:val="p"/>
                                      </m:rPr>
                                      <w:rPr>
                                        <w:rFonts w:ascii="Cambria Math" w:eastAsia="Aptos" w:hAnsi="Cambria Math"/>
                                        <w:color w:val="373636" w:themeColor="text1"/>
                                        <w:kern w:val="24"/>
                                      </w:rPr>
                                      <m:t>(µg per kg lg.dag)</m:t>
                                    </m:r>
                                    <m:r>
                                      <m:rPr>
                                        <m:sty m:val="bi"/>
                                      </m:rPr>
                                      <w:rPr>
                                        <w:rFonts w:ascii="Cambria Math" w:eastAsia="Aptos" w:hAnsi="Cambria Math"/>
                                        <w:color w:val="373636" w:themeColor="text1"/>
                                        <w:kern w:val="24"/>
                                      </w:rPr>
                                      <m:t>*lichaamsgewicht</m:t>
                                    </m:r>
                                    <m:r>
                                      <m:rPr>
                                        <m:sty m:val="b"/>
                                      </m:rPr>
                                      <w:rPr>
                                        <w:rFonts w:ascii="Cambria Math" w:eastAsia="Aptos" w:hAnsi="Cambria Math"/>
                                        <w:color w:val="373636" w:themeColor="text1"/>
                                        <w:kern w:val="24"/>
                                      </w:rPr>
                                      <m:t> </m:t>
                                    </m:r>
                                    <m:d>
                                      <m:dPr>
                                        <m:ctrlPr>
                                          <w:rPr>
                                            <w:rFonts w:ascii="Cambria Math" w:eastAsia="Aptos" w:hAnsi="Cambria Math"/>
                                            <w:b/>
                                            <w:bCs/>
                                            <w:i/>
                                            <w:iCs/>
                                            <w:color w:val="373636" w:themeColor="text1"/>
                                            <w:kern w:val="24"/>
                                          </w:rPr>
                                        </m:ctrlPr>
                                      </m:dPr>
                                      <m:e>
                                        <m:r>
                                          <m:rPr>
                                            <m:sty m:val="p"/>
                                          </m:rPr>
                                          <w:rPr>
                                            <w:rFonts w:ascii="Cambria Math" w:eastAsia="Aptos" w:hAnsi="Cambria Math"/>
                                            <w:color w:val="373636" w:themeColor="text1"/>
                                            <w:kern w:val="24"/>
                                          </w:rPr>
                                          <m:t>kg</m:t>
                                        </m:r>
                                      </m:e>
                                    </m:d>
                                    <m:r>
                                      <m:rPr>
                                        <m:sty m:val="bi"/>
                                      </m:rPr>
                                      <w:rPr>
                                        <w:rFonts w:ascii="Cambria Math" w:eastAsia="Aptos" w:hAnsi="Cambria Math"/>
                                        <w:color w:val="373636" w:themeColor="text1"/>
                                        <w:kern w:val="24"/>
                                      </w:rPr>
                                      <m:t>*bijdrage drinkwater</m:t>
                                    </m:r>
                                    <m:r>
                                      <m:rPr>
                                        <m:sty m:val="b"/>
                                      </m:rPr>
                                      <w:rPr>
                                        <w:rFonts w:ascii="Cambria Math" w:eastAsia="Aptos" w:hAnsi="Cambria Math"/>
                                        <w:color w:val="373636" w:themeColor="text1"/>
                                        <w:kern w:val="24"/>
                                      </w:rPr>
                                      <m:t> </m:t>
                                    </m:r>
                                    <m:r>
                                      <m:rPr>
                                        <m:sty m:val="p"/>
                                      </m:rPr>
                                      <w:rPr>
                                        <w:rFonts w:ascii="Cambria Math" w:eastAsia="Aptos" w:hAnsi="Cambria Math"/>
                                        <w:color w:val="373636" w:themeColor="text1"/>
                                        <w:kern w:val="24"/>
                                      </w:rPr>
                                      <m:t>(%)</m:t>
                                    </m:r>
                                  </m:num>
                                  <m:den>
                                    <m:r>
                                      <m:rPr>
                                        <m:sty m:val="bi"/>
                                      </m:rPr>
                                      <w:rPr>
                                        <w:rFonts w:ascii="Cambria Math" w:eastAsia="Aptos" w:hAnsi="Cambria Math"/>
                                        <w:color w:val="373636" w:themeColor="text1"/>
                                        <w:kern w:val="24"/>
                                      </w:rPr>
                                      <m:t>dagelijkse drinkwaterconsumptie </m:t>
                                    </m:r>
                                    <m:r>
                                      <w:rPr>
                                        <w:rFonts w:ascii="Cambria Math" w:eastAsia="Aptos" w:hAnsi="Cambria Math"/>
                                        <w:color w:val="373636" w:themeColor="text1"/>
                                        <w:kern w:val="24"/>
                                      </w:rPr>
                                      <m:t>(liter per dag)</m:t>
                                    </m:r>
                                  </m:den>
                                </m:f>
                              </m:oMath>
                            </m:oMathPara>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type w14:anchorId="275B6560" id="_x0000_t202" coordsize="21600,21600" o:spt="202" path="m,l,21600r21600,l21600,xe">
                <v:stroke joinstyle="miter"/>
                <v:path gradientshapeok="t" o:connecttype="rect"/>
              </v:shapetype>
              <v:shape id="Tekstvak 10" o:spid="_x0000_s1026" type="#_x0000_t202" style="position:absolute;margin-left:0;margin-top:35.05pt;width:495pt;height:93.6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9benwEAACgDAAAOAAAAZHJzL2Uyb0RvYy54bWysUstu2zAQvBfoPxC815Ic2HUFy0HaIL0E&#10;aYG0H0BTpEWA5LJc2pL/PkvatYP0VuTC1+4OZ2Z3fTs5yw4qogHf8WZWc6a8hN74Xcd//3r4tOIM&#10;k/C9sOBVx48K+e3m44f1GFo1hwFsryIjEI/tGDo+pBTaqkI5KCdwBkF5CmqITiS6xl3VRzESurPV&#10;vK6X1QixDxGkQqTX+1OQbwq+1kqmH1qjSsx2nLilssaybvNabdai3UURBiPPNMR/sHDCePr0AnUv&#10;kmD7aP6BckZGQNBpJsFVoLWRqmggNU39Rs3zIIIqWsgcDBeb8P1g5dPhOfyMLE1fYaIGZkPGgC3S&#10;Y9Yz6ejyTkwZxcnC48U2NSUm6XE5Xy0XNYUkxZpm9eVmscg41bU8REzfFTiWDx2P1Jdilzg8Yjql&#10;/k3Jv3l4MNaW3ljPxo7fNJ8XpQDBmj4Hc1qZEvXNRnYQ1N80Ffr07assullPXK6i8ilN2+msdAv9&#10;kQwYaQY6jn/2ImbLCSPc7RPxKPRyzSnxDEXtKALPo5P7/fpesq4DvnkBAAD//wMAUEsDBBQABgAI&#10;AAAAIQAQO2qk3AAAAAcBAAAPAAAAZHJzL2Rvd25yZXYueG1sTI/BTsMwEETvSPyDtUjcqN2IUpJm&#10;UyEkWsGNFO5u7CZp7XUUu6n5e8yJHndmNPO2XEdr2KRH3ztCmM8EME2NUz21CF+7t4dnYD5IUtI4&#10;0gg/2sO6ur0pZaHchT71VIeWpRLyhUToQhgKzn3TaSv9zA2akndwo5UhnWPL1SgvqdwangnxxK3s&#10;KS10ctCvnW5O9dkiRFuLrfnOD4vT5rh9/5g20e0yxPu7+LICFnQM/2H4w0/oUCWmvTuT8swgpEcC&#10;wlLMgSU3z0US9gjZYvkIvCr5NX/1CwAA//8DAFBLAQItABQABgAIAAAAIQC2gziS/gAAAOEBAAAT&#10;AAAAAAAAAAAAAAAAAAAAAABbQ29udGVudF9UeXBlc10ueG1sUEsBAi0AFAAGAAgAAAAhADj9If/W&#10;AAAAlAEAAAsAAAAAAAAAAAAAAAAALwEAAF9yZWxzLy5yZWxzUEsBAi0AFAAGAAgAAAAhAOHf1t6f&#10;AQAAKAMAAA4AAAAAAAAAAAAAAAAALgIAAGRycy9lMm9Eb2MueG1sUEsBAi0AFAAGAAgAAAAhABA7&#10;aqTcAAAABwEAAA8AAAAAAAAAAAAAAAAA+QMAAGRycy9kb3ducmV2LnhtbFBLBQYAAAAABAAEAPMA&#10;AAACBQAAAAA=&#10;" filled="f" strokecolor="#373636 [3213]" strokeweight=".25pt">
                <v:textbox style="mso-fit-shape-to-text:t">
                  <w:txbxContent>
                    <w:p w14:paraId="5A224060" w14:textId="77777777" w:rsidR="00F15A94" w:rsidRPr="00C62FE8" w:rsidRDefault="00F10F89" w:rsidP="006328BA">
                      <w:pPr>
                        <w:spacing w:line="256" w:lineRule="auto"/>
                        <w:rPr>
                          <w:rFonts w:ascii="Cambria Math" w:eastAsia="Aptos" w:hAnsi="Cambria Math"/>
                          <w:b/>
                          <w:bCs/>
                          <w:i/>
                          <w:iCs/>
                          <w:color w:val="373636" w:themeColor="text1"/>
                          <w:kern w:val="24"/>
                        </w:rPr>
                      </w:pPr>
                      <m:oMathPara>
                        <m:oMathParaPr>
                          <m:jc m:val="centerGroup"/>
                        </m:oMathParaPr>
                        <m:oMath>
                          <m:r>
                            <m:rPr>
                              <m:sty m:val="bi"/>
                            </m:rPr>
                            <w:rPr>
                              <w:rFonts w:ascii="Cambria Math" w:eastAsia="Aptos" w:hAnsi="Cambria Math"/>
                              <w:color w:val="373636" w:themeColor="text1"/>
                              <w:kern w:val="24"/>
                            </w:rPr>
                            <m:t>gezondheidskundige toetsingswaarde voor stof in drinkwater</m:t>
                          </m:r>
                          <m:r>
                            <m:rPr>
                              <m:sty m:val="b"/>
                            </m:rPr>
                            <w:rPr>
                              <w:rFonts w:ascii="Cambria Math" w:eastAsia="Aptos" w:hAnsi="Cambria Math"/>
                              <w:color w:val="373636" w:themeColor="text1"/>
                              <w:kern w:val="24"/>
                            </w:rPr>
                            <m:t> </m:t>
                          </m:r>
                          <m:d>
                            <m:dPr>
                              <m:ctrlPr>
                                <w:rPr>
                                  <w:rFonts w:ascii="Cambria Math" w:eastAsia="Aptos" w:hAnsi="Cambria Math"/>
                                  <w:i/>
                                  <w:iCs/>
                                  <w:color w:val="373636" w:themeColor="text1"/>
                                  <w:kern w:val="24"/>
                                </w:rPr>
                              </m:ctrlPr>
                            </m:dPr>
                            <m:e>
                              <m:r>
                                <m:rPr>
                                  <m:sty m:val="p"/>
                                </m:rPr>
                                <w:rPr>
                                  <w:rFonts w:ascii="Cambria Math" w:eastAsia="Aptos" w:hAnsi="Cambria Math"/>
                                  <w:color w:val="373636" w:themeColor="text1"/>
                                  <w:kern w:val="24"/>
                                </w:rPr>
                                <m:t>µg per liter</m:t>
                              </m:r>
                            </m:e>
                          </m:d>
                        </m:oMath>
                      </m:oMathPara>
                    </w:p>
                    <w:p w14:paraId="0403B139" w14:textId="77777777" w:rsidR="00F15A94" w:rsidRPr="00C62FE8" w:rsidRDefault="00F10F89" w:rsidP="006328BA">
                      <w:pPr>
                        <w:spacing w:line="256" w:lineRule="auto"/>
                        <w:rPr>
                          <w:rFonts w:ascii="Cambria Math" w:eastAsia="Aptos" w:hAnsi="Cambria Math"/>
                          <w:b/>
                          <w:bCs/>
                          <w:color w:val="373636" w:themeColor="text1"/>
                          <w:kern w:val="24"/>
                        </w:rPr>
                      </w:pPr>
                      <m:oMathPara>
                        <m:oMathParaPr>
                          <m:jc m:val="centerGroup"/>
                        </m:oMathParaPr>
                        <m:oMath>
                          <m:r>
                            <m:rPr>
                              <m:sty m:val="b"/>
                            </m:rPr>
                            <w:rPr>
                              <w:rFonts w:ascii="Cambria Math" w:eastAsia="Aptos" w:hAnsi="Cambria Math"/>
                              <w:color w:val="373636" w:themeColor="text1"/>
                              <w:kern w:val="24"/>
                            </w:rPr>
                            <m:t>=</m:t>
                          </m:r>
                        </m:oMath>
                      </m:oMathPara>
                    </w:p>
                    <w:p w14:paraId="1CB298AC" w14:textId="77777777" w:rsidR="00F15A94" w:rsidRDefault="008E0C8D" w:rsidP="006328BA">
                      <w:pPr>
                        <w:spacing w:line="256" w:lineRule="auto"/>
                        <w:rPr>
                          <w:rFonts w:ascii="Cambria Math" w:eastAsia="Times New Roman" w:hAnsi="Times New Roman"/>
                          <w:b/>
                          <w:bCs/>
                          <w:i/>
                          <w:iCs/>
                          <w:color w:val="373636" w:themeColor="text1"/>
                          <w:kern w:val="24"/>
                          <w:sz w:val="36"/>
                          <w:szCs w:val="36"/>
                        </w:rPr>
                      </w:pPr>
                      <m:oMathPara>
                        <m:oMathParaPr>
                          <m:jc m:val="centerGroup"/>
                        </m:oMathParaPr>
                        <m:oMath>
                          <m:f>
                            <m:fPr>
                              <m:ctrlPr>
                                <w:rPr>
                                  <w:rFonts w:ascii="Cambria Math" w:hAnsi="Cambria Math"/>
                                  <w:b/>
                                  <w:bCs/>
                                  <w:i/>
                                  <w:iCs/>
                                  <w:color w:val="373636" w:themeColor="text1"/>
                                  <w:kern w:val="24"/>
                                </w:rPr>
                              </m:ctrlPr>
                            </m:fPr>
                            <m:num>
                              <m:r>
                                <m:rPr>
                                  <m:sty m:val="bi"/>
                                </m:rPr>
                                <w:rPr>
                                  <w:rFonts w:ascii="Cambria Math" w:eastAsia="Aptos" w:hAnsi="Cambria Math"/>
                                  <w:color w:val="373636" w:themeColor="text1"/>
                                  <w:kern w:val="24"/>
                                </w:rPr>
                                <m:t>TDI</m:t>
                              </m:r>
                              <m:r>
                                <m:rPr>
                                  <m:sty m:val="b"/>
                                </m:rPr>
                                <w:rPr>
                                  <w:rFonts w:ascii="Cambria Math" w:eastAsia="Aptos" w:hAnsi="Cambria Math"/>
                                  <w:color w:val="373636" w:themeColor="text1"/>
                                  <w:kern w:val="24"/>
                                </w:rPr>
                                <m:t> </m:t>
                              </m:r>
                              <m:r>
                                <m:rPr>
                                  <m:sty m:val="p"/>
                                </m:rPr>
                                <w:rPr>
                                  <w:rFonts w:ascii="Cambria Math" w:eastAsia="Aptos" w:hAnsi="Cambria Math"/>
                                  <w:color w:val="373636" w:themeColor="text1"/>
                                  <w:kern w:val="24"/>
                                </w:rPr>
                                <m:t>(µg per kg lg.dag)</m:t>
                              </m:r>
                              <m:r>
                                <m:rPr>
                                  <m:sty m:val="bi"/>
                                </m:rPr>
                                <w:rPr>
                                  <w:rFonts w:ascii="Cambria Math" w:eastAsia="Aptos" w:hAnsi="Cambria Math"/>
                                  <w:color w:val="373636" w:themeColor="text1"/>
                                  <w:kern w:val="24"/>
                                </w:rPr>
                                <m:t>*lichaamsgewicht</m:t>
                              </m:r>
                              <m:r>
                                <m:rPr>
                                  <m:sty m:val="b"/>
                                </m:rPr>
                                <w:rPr>
                                  <w:rFonts w:ascii="Cambria Math" w:eastAsia="Aptos" w:hAnsi="Cambria Math"/>
                                  <w:color w:val="373636" w:themeColor="text1"/>
                                  <w:kern w:val="24"/>
                                </w:rPr>
                                <m:t> </m:t>
                              </m:r>
                              <m:d>
                                <m:dPr>
                                  <m:ctrlPr>
                                    <w:rPr>
                                      <w:rFonts w:ascii="Cambria Math" w:eastAsia="Aptos" w:hAnsi="Cambria Math"/>
                                      <w:b/>
                                      <w:bCs/>
                                      <w:i/>
                                      <w:iCs/>
                                      <w:color w:val="373636" w:themeColor="text1"/>
                                      <w:kern w:val="24"/>
                                    </w:rPr>
                                  </m:ctrlPr>
                                </m:dPr>
                                <m:e>
                                  <m:r>
                                    <m:rPr>
                                      <m:sty m:val="p"/>
                                    </m:rPr>
                                    <w:rPr>
                                      <w:rFonts w:ascii="Cambria Math" w:eastAsia="Aptos" w:hAnsi="Cambria Math"/>
                                      <w:color w:val="373636" w:themeColor="text1"/>
                                      <w:kern w:val="24"/>
                                    </w:rPr>
                                    <m:t>kg</m:t>
                                  </m:r>
                                </m:e>
                              </m:d>
                              <m:r>
                                <m:rPr>
                                  <m:sty m:val="bi"/>
                                </m:rPr>
                                <w:rPr>
                                  <w:rFonts w:ascii="Cambria Math" w:eastAsia="Aptos" w:hAnsi="Cambria Math"/>
                                  <w:color w:val="373636" w:themeColor="text1"/>
                                  <w:kern w:val="24"/>
                                </w:rPr>
                                <m:t>*bijdrage drinkwater</m:t>
                              </m:r>
                              <m:r>
                                <m:rPr>
                                  <m:sty m:val="b"/>
                                </m:rPr>
                                <w:rPr>
                                  <w:rFonts w:ascii="Cambria Math" w:eastAsia="Aptos" w:hAnsi="Cambria Math"/>
                                  <w:color w:val="373636" w:themeColor="text1"/>
                                  <w:kern w:val="24"/>
                                </w:rPr>
                                <m:t> </m:t>
                              </m:r>
                              <m:r>
                                <m:rPr>
                                  <m:sty m:val="p"/>
                                </m:rPr>
                                <w:rPr>
                                  <w:rFonts w:ascii="Cambria Math" w:eastAsia="Aptos" w:hAnsi="Cambria Math"/>
                                  <w:color w:val="373636" w:themeColor="text1"/>
                                  <w:kern w:val="24"/>
                                </w:rPr>
                                <m:t>(%)</m:t>
                              </m:r>
                            </m:num>
                            <m:den>
                              <m:r>
                                <m:rPr>
                                  <m:sty m:val="bi"/>
                                </m:rPr>
                                <w:rPr>
                                  <w:rFonts w:ascii="Cambria Math" w:eastAsia="Aptos" w:hAnsi="Cambria Math"/>
                                  <w:color w:val="373636" w:themeColor="text1"/>
                                  <w:kern w:val="24"/>
                                </w:rPr>
                                <m:t>dagelijkse drinkwaterconsumptie </m:t>
                              </m:r>
                              <m:r>
                                <w:rPr>
                                  <w:rFonts w:ascii="Cambria Math" w:eastAsia="Aptos" w:hAnsi="Cambria Math"/>
                                  <w:color w:val="373636" w:themeColor="text1"/>
                                  <w:kern w:val="24"/>
                                </w:rPr>
                                <m:t>(liter per dag)</m:t>
                              </m:r>
                            </m:den>
                          </m:f>
                        </m:oMath>
                      </m:oMathPara>
                    </w:p>
                  </w:txbxContent>
                </v:textbox>
                <w10:wrap type="square" anchorx="margin"/>
              </v:shape>
            </w:pict>
          </mc:Fallback>
        </mc:AlternateContent>
      </w:r>
      <w:r w:rsidR="006328BA">
        <w:rPr>
          <w:lang w:val="nl-NL"/>
        </w:rPr>
        <w:t>Voor</w:t>
      </w:r>
      <w:r w:rsidR="006328BA" w:rsidRPr="00BC35D0">
        <w:rPr>
          <w:lang w:val="nl-NL"/>
        </w:rPr>
        <w:t xml:space="preserve"> </w:t>
      </w:r>
      <w:r w:rsidR="006328BA">
        <w:rPr>
          <w:lang w:val="nl-NL"/>
        </w:rPr>
        <w:t>de bepaling</w:t>
      </w:r>
      <w:r w:rsidR="006328BA" w:rsidRPr="00BC35D0">
        <w:rPr>
          <w:lang w:val="nl-NL"/>
        </w:rPr>
        <w:t xml:space="preserve"> van een gezondheidskundige toetsingswaarde voor een stof in drinkwater </w:t>
      </w:r>
      <w:r w:rsidR="006328BA">
        <w:rPr>
          <w:lang w:val="nl-NL"/>
        </w:rPr>
        <w:t xml:space="preserve">wordt meestal </w:t>
      </w:r>
      <w:r w:rsidR="006328BA" w:rsidRPr="00BC35D0">
        <w:rPr>
          <w:lang w:val="nl-NL"/>
        </w:rPr>
        <w:t>volgende formule gebruikt</w:t>
      </w:r>
      <w:r w:rsidR="006328BA">
        <w:rPr>
          <w:lang w:val="nl-NL"/>
        </w:rPr>
        <w:t>:</w:t>
      </w:r>
    </w:p>
    <w:p w14:paraId="301C587E" w14:textId="4895FCA9" w:rsidR="006328BA" w:rsidRDefault="006328BA" w:rsidP="006328BA">
      <w:pPr>
        <w:rPr>
          <w:i/>
          <w:iCs/>
          <w:lang w:val="nl-NL"/>
        </w:rPr>
      </w:pPr>
    </w:p>
    <w:p w14:paraId="4A7B9D22" w14:textId="7EE06AE2" w:rsidR="006328BA" w:rsidRDefault="006328BA" w:rsidP="003F06FD">
      <w:pPr>
        <w:jc w:val="both"/>
        <w:rPr>
          <w:rFonts w:cs="Calibri"/>
        </w:rPr>
      </w:pPr>
      <w:r w:rsidRPr="00E00D49">
        <w:rPr>
          <w:lang w:val="nl-NL"/>
        </w:rPr>
        <w:t>De TDI is de toelaatbare dagelijkse (orale) inname voor een stof</w:t>
      </w:r>
      <w:r w:rsidRPr="00E00D49">
        <w:t xml:space="preserve">, uitgedrukt in µg (of mg) per kg lichaamsgewicht per dag. Deze waarde wordt bepaald aan de hand van gegevens </w:t>
      </w:r>
      <w:r>
        <w:t xml:space="preserve">uit studies </w:t>
      </w:r>
      <w:r w:rsidRPr="00E00D49">
        <w:t>over de</w:t>
      </w:r>
      <w:r>
        <w:t xml:space="preserve"> toxiciteit van een stof waarbij er rekening wordt gehouden met veiligheidsfactoren om </w:t>
      </w:r>
      <w:r w:rsidRPr="00CC2F66">
        <w:rPr>
          <w:rFonts w:cs="Calibri"/>
        </w:rPr>
        <w:t>rekening te houden met onzekerheden</w:t>
      </w:r>
      <w:r>
        <w:rPr>
          <w:rFonts w:cs="Calibri"/>
        </w:rPr>
        <w:t xml:space="preserve"> bij het extrapoleren vanuit de toxicologische gegevens.</w:t>
      </w:r>
    </w:p>
    <w:p w14:paraId="00528A41" w14:textId="77777777" w:rsidR="003F06FD" w:rsidRDefault="003F06FD" w:rsidP="003F06FD">
      <w:pPr>
        <w:jc w:val="both"/>
        <w:rPr>
          <w:rFonts w:cs="Calibri"/>
        </w:rPr>
      </w:pPr>
    </w:p>
    <w:p w14:paraId="03480682" w14:textId="77777777" w:rsidR="006328BA" w:rsidRDefault="006328BA" w:rsidP="006328BA">
      <w:r>
        <w:lastRenderedPageBreak/>
        <w:t xml:space="preserve">Voor het </w:t>
      </w:r>
      <w:r w:rsidRPr="00BC35D0">
        <w:t>lichaamsgewicht (kg)</w:t>
      </w:r>
      <w:r>
        <w:t>, de</w:t>
      </w:r>
      <w:r w:rsidRPr="00667AED">
        <w:t xml:space="preserve"> </w:t>
      </w:r>
      <w:r w:rsidRPr="00BC35D0">
        <w:t>fractie van de totale dagelijkse inname die wordt toegekend aan drinkwater (%)</w:t>
      </w:r>
      <w:r>
        <w:t xml:space="preserve"> en de </w:t>
      </w:r>
      <w:r w:rsidRPr="00BC35D0">
        <w:t>dagelijkse drinkwaterconsumptie (liter/dag)</w:t>
      </w:r>
      <w:r>
        <w:t xml:space="preserve"> worden meestal standaardwaarden gebruikt. Het Departement Zorg gebruikt hiervoor de standaardaannames die door de Wereldgezondheidsorganisatie worden gebruikt nl. 60 kg lichaamsgewicht; 20% bijdrage via drinkwater; consumptie van 2 liter per dag.</w:t>
      </w:r>
    </w:p>
    <w:p w14:paraId="6A944EB8" w14:textId="77777777" w:rsidR="003F06FD" w:rsidRDefault="003F06FD" w:rsidP="006328BA"/>
    <w:p w14:paraId="7D2E64F1" w14:textId="77777777" w:rsidR="006328BA" w:rsidRDefault="006328BA" w:rsidP="006328BA">
      <w:pPr>
        <w:spacing w:line="240" w:lineRule="auto"/>
      </w:pPr>
      <w:r>
        <w:t>Bij de berekening</w:t>
      </w:r>
      <w:r w:rsidRPr="00667AED">
        <w:t xml:space="preserve"> wordt er dus rekening mee gehouden dat men </w:t>
      </w:r>
      <w:r>
        <w:t xml:space="preserve">de stof </w:t>
      </w:r>
      <w:r w:rsidRPr="00667AED">
        <w:t xml:space="preserve">niet enkel via drinkwater </w:t>
      </w:r>
      <w:r>
        <w:t xml:space="preserve">inneemt </w:t>
      </w:r>
      <w:r w:rsidRPr="00667AED">
        <w:t xml:space="preserve">maar ook via voeding. </w:t>
      </w:r>
      <w:r>
        <w:t>Daarom wordt slechts een deel van de totale dagelijkse inname toegekend aan drinkwater. Meestal wordt hiervoor 20% gebruikt.</w:t>
      </w:r>
    </w:p>
    <w:p w14:paraId="77E368D6" w14:textId="77777777" w:rsidR="006328BA" w:rsidRDefault="006328BA" w:rsidP="006328BA">
      <w:pPr>
        <w:spacing w:line="240" w:lineRule="auto"/>
        <w:rPr>
          <w:rFonts w:cs="Calibri"/>
        </w:rPr>
      </w:pPr>
    </w:p>
    <w:p w14:paraId="45DBF500" w14:textId="77777777" w:rsidR="003F06FD" w:rsidRPr="00CC2F66" w:rsidRDefault="003F06FD" w:rsidP="006328BA">
      <w:pPr>
        <w:spacing w:line="240" w:lineRule="auto"/>
        <w:rPr>
          <w:rFonts w:cs="Calibri"/>
        </w:rPr>
      </w:pPr>
    </w:p>
    <w:p w14:paraId="6A39D140" w14:textId="77777777" w:rsidR="006328BA" w:rsidRPr="002F1980" w:rsidRDefault="006328BA" w:rsidP="006328BA">
      <w:pPr>
        <w:spacing w:line="240" w:lineRule="auto"/>
        <w:rPr>
          <w:rFonts w:cs="Calibri"/>
          <w:b/>
          <w:bCs/>
        </w:rPr>
      </w:pPr>
      <w:r w:rsidRPr="002F1980">
        <w:rPr>
          <w:rFonts w:cs="Calibri"/>
          <w:b/>
          <w:bCs/>
        </w:rPr>
        <w:t xml:space="preserve">Waarin verschillen de gezondheidskundige toetsingswaarden die in het advies van Departement Zorg worden vermeld? </w:t>
      </w:r>
    </w:p>
    <w:p w14:paraId="60C48EB7" w14:textId="4230F748" w:rsidR="003F06FD" w:rsidRDefault="003F06FD" w:rsidP="006328BA"/>
    <w:p w14:paraId="222DA763" w14:textId="104FFDC1" w:rsidR="07101DE4" w:rsidRDefault="07101DE4" w:rsidP="381178B9">
      <w:pPr>
        <w:rPr>
          <w:rFonts w:ascii="Segoe UI" w:eastAsia="Segoe UI" w:hAnsi="Segoe UI" w:cs="Segoe UI"/>
          <w:i/>
          <w:iCs/>
          <w:color w:val="0F4C81" w:themeColor="accent1"/>
          <w:sz w:val="21"/>
          <w:szCs w:val="21"/>
        </w:rPr>
      </w:pPr>
      <w:r w:rsidRPr="381178B9">
        <w:rPr>
          <w:rFonts w:ascii="Segoe UI" w:eastAsia="Segoe UI" w:hAnsi="Segoe UI" w:cs="Segoe UI"/>
          <w:i/>
          <w:iCs/>
          <w:color w:val="0F4B80"/>
          <w:sz w:val="21"/>
          <w:szCs w:val="21"/>
        </w:rPr>
        <w:t xml:space="preserve">De gezondheidskundige toetsingswaarden voor 1,2,4-triazool in drinkwater verschillen onderling als gevolg van o.a. de methodes die gebruikt zijn om de toetsingswaarde af te leiden en de </w:t>
      </w:r>
      <w:r w:rsidR="00C7010B">
        <w:rPr>
          <w:rFonts w:ascii="Segoe UI" w:eastAsia="Segoe UI" w:hAnsi="Segoe UI" w:cs="Segoe UI"/>
          <w:i/>
          <w:iCs/>
          <w:color w:val="0F4B80"/>
          <w:sz w:val="21"/>
          <w:szCs w:val="21"/>
        </w:rPr>
        <w:t xml:space="preserve">gebruikte </w:t>
      </w:r>
      <w:r w:rsidRPr="381178B9">
        <w:rPr>
          <w:rFonts w:ascii="Segoe UI" w:eastAsia="Segoe UI" w:hAnsi="Segoe UI" w:cs="Segoe UI"/>
          <w:i/>
          <w:iCs/>
          <w:color w:val="0F4B80"/>
          <w:sz w:val="21"/>
          <w:szCs w:val="21"/>
        </w:rPr>
        <w:t>veiligheidsmarges</w:t>
      </w:r>
      <w:r w:rsidR="60C7DE10" w:rsidRPr="381178B9">
        <w:rPr>
          <w:rFonts w:ascii="Segoe UI" w:eastAsia="Segoe UI" w:hAnsi="Segoe UI" w:cs="Segoe UI"/>
          <w:i/>
          <w:iCs/>
          <w:color w:val="0F4B80"/>
          <w:sz w:val="21"/>
          <w:szCs w:val="21"/>
        </w:rPr>
        <w:t xml:space="preserve">. </w:t>
      </w:r>
      <w:r w:rsidRPr="381178B9">
        <w:rPr>
          <w:rFonts w:ascii="Segoe UI" w:eastAsia="Segoe UI" w:hAnsi="Segoe UI" w:cs="Segoe UI"/>
          <w:i/>
          <w:iCs/>
          <w:color w:val="0F4B80"/>
          <w:sz w:val="21"/>
          <w:szCs w:val="21"/>
        </w:rPr>
        <w:t xml:space="preserve">De voorzorgswaarde van 4,5 µg/l is </w:t>
      </w:r>
      <w:r w:rsidR="16A94A38" w:rsidRPr="381178B9">
        <w:rPr>
          <w:rFonts w:ascii="Segoe UI" w:eastAsia="Segoe UI" w:hAnsi="Segoe UI" w:cs="Segoe UI"/>
          <w:i/>
          <w:iCs/>
          <w:color w:val="0F4B80"/>
          <w:sz w:val="21"/>
          <w:szCs w:val="21"/>
        </w:rPr>
        <w:t xml:space="preserve">afgeleid </w:t>
      </w:r>
      <w:r w:rsidRPr="381178B9">
        <w:rPr>
          <w:rFonts w:ascii="Segoe UI" w:eastAsia="Segoe UI" w:hAnsi="Segoe UI" w:cs="Segoe UI"/>
          <w:i/>
          <w:iCs/>
          <w:color w:val="0F4B80"/>
          <w:sz w:val="21"/>
          <w:szCs w:val="21"/>
        </w:rPr>
        <w:t xml:space="preserve">op basis van algemene </w:t>
      </w:r>
      <w:r w:rsidR="3E190EE9" w:rsidRPr="381178B9">
        <w:rPr>
          <w:rFonts w:ascii="Segoe UI" w:eastAsia="Segoe UI" w:hAnsi="Segoe UI" w:cs="Segoe UI"/>
          <w:i/>
          <w:iCs/>
          <w:color w:val="0F4B80"/>
          <w:sz w:val="21"/>
          <w:szCs w:val="21"/>
        </w:rPr>
        <w:t>structuur</w:t>
      </w:r>
      <w:r w:rsidRPr="381178B9">
        <w:rPr>
          <w:rFonts w:ascii="Segoe UI" w:eastAsia="Segoe UI" w:hAnsi="Segoe UI" w:cs="Segoe UI"/>
          <w:i/>
          <w:iCs/>
          <w:color w:val="0F4B80"/>
          <w:sz w:val="21"/>
          <w:szCs w:val="21"/>
        </w:rPr>
        <w:t>eigenschappen</w:t>
      </w:r>
      <w:r w:rsidR="16478805" w:rsidRPr="381178B9">
        <w:rPr>
          <w:rFonts w:ascii="Segoe UI" w:eastAsia="Segoe UI" w:hAnsi="Segoe UI" w:cs="Segoe UI"/>
          <w:i/>
          <w:iCs/>
          <w:color w:val="0F4B80"/>
          <w:sz w:val="21"/>
          <w:szCs w:val="21"/>
        </w:rPr>
        <w:t xml:space="preserve"> van de stof</w:t>
      </w:r>
      <w:r w:rsidRPr="381178B9">
        <w:rPr>
          <w:rFonts w:ascii="Segoe UI" w:eastAsia="Segoe UI" w:hAnsi="Segoe UI" w:cs="Segoe UI"/>
          <w:i/>
          <w:iCs/>
          <w:color w:val="0F4B80"/>
          <w:sz w:val="21"/>
          <w:szCs w:val="21"/>
        </w:rPr>
        <w:t xml:space="preserve">, terwijl de waarden van 30 µg/l en 138 µg/l gebaseerd zijn op </w:t>
      </w:r>
      <w:r w:rsidR="20F85987" w:rsidRPr="381178B9">
        <w:rPr>
          <w:rFonts w:ascii="Segoe UI" w:eastAsia="Segoe UI" w:hAnsi="Segoe UI" w:cs="Segoe UI"/>
          <w:i/>
          <w:iCs/>
          <w:color w:val="0F4B80"/>
          <w:sz w:val="21"/>
          <w:szCs w:val="21"/>
        </w:rPr>
        <w:t>stof</w:t>
      </w:r>
      <w:r w:rsidRPr="381178B9">
        <w:rPr>
          <w:rFonts w:ascii="Segoe UI" w:eastAsia="Segoe UI" w:hAnsi="Segoe UI" w:cs="Segoe UI"/>
          <w:i/>
          <w:iCs/>
          <w:color w:val="0F4B80"/>
          <w:sz w:val="21"/>
          <w:szCs w:val="21"/>
        </w:rPr>
        <w:t xml:space="preserve">specifieke toxicologische informatie. </w:t>
      </w:r>
    </w:p>
    <w:p w14:paraId="717DCFB5" w14:textId="6B70AE9B" w:rsidR="22642BBA" w:rsidRDefault="22642BBA"/>
    <w:p w14:paraId="471D79AA" w14:textId="2252E269" w:rsidR="006328BA" w:rsidRPr="00A80513" w:rsidRDefault="006328BA" w:rsidP="006328BA">
      <w:r w:rsidRPr="00A80513">
        <w:t xml:space="preserve">In het advies van het Departement Zorg in verband met de afwijkingsaanvraag voor 1,2,4-triazool in drinkwater worden 3 verschillende toetingswaarden vermeld, zijnde 4,5 µg/l, 30 µg/l en 138 µg/l.  </w:t>
      </w:r>
    </w:p>
    <w:p w14:paraId="50D13A6F" w14:textId="77777777" w:rsidR="006328BA" w:rsidRPr="00CC2F66" w:rsidRDefault="006328BA" w:rsidP="006328BA">
      <w:pPr>
        <w:spacing w:line="240" w:lineRule="auto"/>
        <w:rPr>
          <w:rFonts w:cs="Calibri"/>
        </w:rPr>
      </w:pPr>
      <w:r w:rsidRPr="00CC2F66">
        <w:rPr>
          <w:rFonts w:cs="Calibri"/>
        </w:rPr>
        <w:t xml:space="preserve">Gezondheidskundige toetsingswaarden kunnen onderling sterk van elkaar verschillen afhankelijk van o.a. </w:t>
      </w:r>
    </w:p>
    <w:p w14:paraId="05BB9FB3" w14:textId="77777777" w:rsidR="006328BA" w:rsidRPr="00CC2F66" w:rsidRDefault="006328BA" w:rsidP="006328BA">
      <w:pPr>
        <w:numPr>
          <w:ilvl w:val="0"/>
          <w:numId w:val="13"/>
        </w:numPr>
        <w:spacing w:line="240" w:lineRule="auto"/>
        <w:rPr>
          <w:rFonts w:cs="Calibri"/>
        </w:rPr>
      </w:pPr>
      <w:r w:rsidRPr="00CC2F66">
        <w:rPr>
          <w:rFonts w:cs="Calibri"/>
        </w:rPr>
        <w:t xml:space="preserve">de gehanteerde methode om de toetsingswaarde af te leiden; </w:t>
      </w:r>
    </w:p>
    <w:p w14:paraId="09EA54AC" w14:textId="77777777" w:rsidR="006328BA" w:rsidRPr="00CC2F66" w:rsidRDefault="006328BA" w:rsidP="006328BA">
      <w:pPr>
        <w:numPr>
          <w:ilvl w:val="0"/>
          <w:numId w:val="13"/>
        </w:numPr>
        <w:spacing w:line="240" w:lineRule="auto"/>
        <w:rPr>
          <w:rFonts w:cs="Calibri"/>
        </w:rPr>
      </w:pPr>
      <w:r w:rsidRPr="00CC2F66">
        <w:rPr>
          <w:rFonts w:cs="Calibri"/>
        </w:rPr>
        <w:t xml:space="preserve">de gehanteerde blootstellingsduur (kort-/langdurig) en blootstellingsroute; </w:t>
      </w:r>
    </w:p>
    <w:p w14:paraId="7DBEF843" w14:textId="77777777" w:rsidR="006328BA" w:rsidRPr="00CC2F66" w:rsidRDefault="006328BA" w:rsidP="006328BA">
      <w:pPr>
        <w:numPr>
          <w:ilvl w:val="0"/>
          <w:numId w:val="13"/>
        </w:numPr>
        <w:spacing w:line="240" w:lineRule="auto"/>
        <w:rPr>
          <w:rFonts w:cs="Calibri"/>
        </w:rPr>
      </w:pPr>
      <w:r w:rsidRPr="00CC2F66">
        <w:rPr>
          <w:rFonts w:cs="Calibri"/>
        </w:rPr>
        <w:t xml:space="preserve">de toxicologische studie </w:t>
      </w:r>
      <w:r>
        <w:rPr>
          <w:rFonts w:cs="Calibri"/>
        </w:rPr>
        <w:t xml:space="preserve">en de referentiewaarde </w:t>
      </w:r>
      <w:r w:rsidRPr="00CC2F66">
        <w:rPr>
          <w:rFonts w:cs="Calibri"/>
        </w:rPr>
        <w:t xml:space="preserve">die als basis gebruikt worden; </w:t>
      </w:r>
    </w:p>
    <w:p w14:paraId="224721DF" w14:textId="77777777" w:rsidR="006328BA" w:rsidRPr="00CC2F66" w:rsidRDefault="006328BA" w:rsidP="006328BA">
      <w:pPr>
        <w:numPr>
          <w:ilvl w:val="0"/>
          <w:numId w:val="13"/>
        </w:numPr>
        <w:spacing w:line="240" w:lineRule="auto"/>
        <w:rPr>
          <w:rFonts w:cs="Calibri"/>
        </w:rPr>
      </w:pPr>
      <w:r w:rsidRPr="00CC2F66">
        <w:rPr>
          <w:rFonts w:cs="Calibri"/>
        </w:rPr>
        <w:t>de gehanteerde veiligheidsmarges om rekening te houden met onzekerheden</w:t>
      </w:r>
      <w:r>
        <w:rPr>
          <w:rFonts w:cs="Calibri"/>
        </w:rPr>
        <w:t xml:space="preserve"> bij het extrapoleren vanuit de toxicologische gegevens</w:t>
      </w:r>
      <w:r w:rsidRPr="00CC2F66">
        <w:rPr>
          <w:rFonts w:cs="Calibri"/>
        </w:rPr>
        <w:t xml:space="preserve">; en/of </w:t>
      </w:r>
    </w:p>
    <w:p w14:paraId="1DEB217C" w14:textId="77777777" w:rsidR="006328BA" w:rsidRPr="00CC2F66" w:rsidRDefault="006328BA" w:rsidP="006328BA">
      <w:pPr>
        <w:numPr>
          <w:ilvl w:val="0"/>
          <w:numId w:val="13"/>
        </w:numPr>
        <w:spacing w:line="240" w:lineRule="auto"/>
        <w:rPr>
          <w:rFonts w:cs="Calibri"/>
        </w:rPr>
      </w:pPr>
      <w:r w:rsidRPr="00CC2F66">
        <w:rPr>
          <w:rFonts w:cs="Calibri"/>
        </w:rPr>
        <w:t xml:space="preserve">de gehanteerde aannames </w:t>
      </w:r>
      <w:r>
        <w:rPr>
          <w:rFonts w:cs="Calibri"/>
        </w:rPr>
        <w:t>bij omrekening naar de concentratie in drinkwater</w:t>
      </w:r>
      <w:r w:rsidRPr="00CC2F66">
        <w:rPr>
          <w:rFonts w:cs="Calibri"/>
        </w:rPr>
        <w:t xml:space="preserve"> </w:t>
      </w:r>
    </w:p>
    <w:p w14:paraId="7D141E46" w14:textId="77777777" w:rsidR="003F06FD" w:rsidRDefault="003F06FD" w:rsidP="006328BA">
      <w:pPr>
        <w:spacing w:line="240" w:lineRule="auto"/>
        <w:ind w:left="360"/>
        <w:rPr>
          <w:rFonts w:cs="Calibri"/>
        </w:rPr>
      </w:pPr>
    </w:p>
    <w:p w14:paraId="607051BC" w14:textId="6FA3E1A3" w:rsidR="006328BA" w:rsidRPr="000C60C7" w:rsidRDefault="006328BA" w:rsidP="5F8D43C2">
      <w:pPr>
        <w:spacing w:line="240" w:lineRule="auto"/>
        <w:rPr>
          <w:rFonts w:cs="Calibri"/>
        </w:rPr>
      </w:pPr>
      <w:r w:rsidRPr="5F8D43C2">
        <w:rPr>
          <w:rFonts w:cs="Calibri"/>
        </w:rPr>
        <w:t>De voorzorgswaarde van</w:t>
      </w:r>
      <w:r w:rsidRPr="5F8D43C2">
        <w:rPr>
          <w:rFonts w:cs="Calibri"/>
          <w:b/>
          <w:bCs/>
        </w:rPr>
        <w:t xml:space="preserve"> 4,5 µg/l</w:t>
      </w:r>
      <w:r w:rsidRPr="5F8D43C2">
        <w:rPr>
          <w:rFonts w:cs="Calibri"/>
        </w:rPr>
        <w:t xml:space="preserve"> is door VITO aan de hand van de Treshold of Toxicological Concern (TTC) methode bepaald op basis van de algemene chemische structuureigenschappen van 1,2,4-triazool, en houdt geen rekening met stofspecifieke toxicologische informatie voor deze stof. De afleiding gebeurt aan de hand van een relatief eenvoudige methodiek (indeling van een stof in een zogenaamde Cramer-klasse op basis van de structuur) om snel een concentratie voor een stof in drinkwater te bepalen die als gezondheidskundig (zeer) veilig beschouwd wordt. </w:t>
      </w:r>
    </w:p>
    <w:p w14:paraId="6243B78B" w14:textId="77777777" w:rsidR="003F06FD" w:rsidRDefault="003F06FD" w:rsidP="006328BA">
      <w:pPr>
        <w:spacing w:line="240" w:lineRule="auto"/>
        <w:ind w:left="360"/>
        <w:rPr>
          <w:rFonts w:cs="Calibri"/>
        </w:rPr>
      </w:pPr>
    </w:p>
    <w:p w14:paraId="4FFC8245" w14:textId="3389B999" w:rsidR="006328BA" w:rsidRDefault="006328BA" w:rsidP="5F8D43C2">
      <w:pPr>
        <w:spacing w:line="240" w:lineRule="auto"/>
        <w:rPr>
          <w:rFonts w:cs="Calibri"/>
        </w:rPr>
      </w:pPr>
      <w:r w:rsidRPr="5F8D43C2">
        <w:rPr>
          <w:rFonts w:cs="Calibri"/>
        </w:rPr>
        <w:t xml:space="preserve">De andere gezondheidskundige toetsingswaarden voor 1,2,4-triazool in drinkwater, zijnde </w:t>
      </w:r>
      <w:r w:rsidRPr="5F8D43C2">
        <w:rPr>
          <w:b/>
          <w:bCs/>
        </w:rPr>
        <w:t>30 µg/l en 138 µg/l</w:t>
      </w:r>
      <w:r>
        <w:t xml:space="preserve">, </w:t>
      </w:r>
      <w:r w:rsidRPr="5F8D43C2">
        <w:rPr>
          <w:rFonts w:cs="Calibri"/>
        </w:rPr>
        <w:t xml:space="preserve">zijn afgeleid aan de hand van stofspecifieke toxicologische informatie die beschikbaar is voor 1,2,4-triazool. Bij de afleidingen van deze gezondheidskundige toetsingswaarden werden o.a. verschillende toxicologische drempelwaarden en veiligheidsfactoren gehanteerd, hetgeen de onderlinge verschillen tussen deze waarden verklaart. </w:t>
      </w:r>
      <w:r>
        <w:t>In volgende tabel wordt een overzicht gegeven van de elementen waarop deze toetsingswaarden gebaseerd zijn.</w:t>
      </w:r>
      <w:r w:rsidRPr="5F8D43C2">
        <w:rPr>
          <w:rFonts w:cs="Calibri"/>
        </w:rPr>
        <w:t xml:space="preserve"> </w:t>
      </w:r>
    </w:p>
    <w:p w14:paraId="25866D5F" w14:textId="77777777" w:rsidR="003F06FD" w:rsidRPr="00F0083F" w:rsidRDefault="003F06FD" w:rsidP="006328BA">
      <w:pPr>
        <w:spacing w:line="240" w:lineRule="auto"/>
        <w:ind w:left="360"/>
        <w:rPr>
          <w:rFonts w:cs="Calibri"/>
        </w:rPr>
      </w:pPr>
    </w:p>
    <w:p w14:paraId="251E7D44" w14:textId="77777777" w:rsidR="006328BA" w:rsidRDefault="006328BA" w:rsidP="006328BA">
      <w:pPr>
        <w:spacing w:line="240" w:lineRule="auto"/>
        <w:ind w:left="360"/>
        <w:rPr>
          <w:rFonts w:cs="Calibri"/>
        </w:rPr>
      </w:pPr>
      <w:r w:rsidRPr="00FF3FA4">
        <w:rPr>
          <w:rFonts w:cs="Calibri"/>
          <w:noProof/>
        </w:rPr>
        <w:lastRenderedPageBreak/>
        <w:drawing>
          <wp:inline distT="0" distB="0" distL="0" distR="0" wp14:anchorId="374BB98E" wp14:editId="6F1A45A3">
            <wp:extent cx="5760720" cy="4441190"/>
            <wp:effectExtent l="0" t="0" r="0" b="0"/>
            <wp:docPr id="2078191475"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91475" name="Afbeelding 1" descr="Afbeelding met tekst, schermopname, Lettertype, nummer&#10;&#10;Door AI gegenereerde inhoud is mogelijk onjuist."/>
                    <pic:cNvPicPr/>
                  </pic:nvPicPr>
                  <pic:blipFill>
                    <a:blip r:embed="rId18"/>
                    <a:stretch>
                      <a:fillRect/>
                    </a:stretch>
                  </pic:blipFill>
                  <pic:spPr>
                    <a:xfrm>
                      <a:off x="0" y="0"/>
                      <a:ext cx="5760720" cy="4441190"/>
                    </a:xfrm>
                    <a:prstGeom prst="rect">
                      <a:avLst/>
                    </a:prstGeom>
                  </pic:spPr>
                </pic:pic>
              </a:graphicData>
            </a:graphic>
          </wp:inline>
        </w:drawing>
      </w:r>
    </w:p>
    <w:p w14:paraId="1DB85845" w14:textId="77777777" w:rsidR="006328BA" w:rsidRPr="00D13A2D" w:rsidRDefault="006328BA" w:rsidP="006328BA">
      <w:pPr>
        <w:spacing w:line="240" w:lineRule="auto"/>
        <w:ind w:left="708"/>
        <w:rPr>
          <w:rFonts w:cs="Calibri"/>
          <w:i/>
          <w:iCs/>
          <w:sz w:val="16"/>
          <w:szCs w:val="16"/>
        </w:rPr>
      </w:pPr>
      <w:r w:rsidRPr="00D13A2D">
        <w:rPr>
          <w:rFonts w:cs="Calibri"/>
          <w:i/>
          <w:iCs/>
          <w:sz w:val="16"/>
          <w:szCs w:val="16"/>
        </w:rPr>
        <w:t>Veiligheidsfactoren: beide afleidingen brengen factoren in rekening voor onzekerheden op vlak van intersoortvariabiliteit (cf. verschillen in gevoeligheid tussen diersoorten en mensen), intrasoortvariabiliteit (cf. verschillen in gevoeligheid binnen de menselijke populatie) en onvolledigheid van data.</w:t>
      </w:r>
    </w:p>
    <w:p w14:paraId="441F1C3E" w14:textId="77777777" w:rsidR="006328BA" w:rsidRPr="000C60C7" w:rsidRDefault="006328BA" w:rsidP="006328BA">
      <w:pPr>
        <w:spacing w:line="240" w:lineRule="auto"/>
        <w:ind w:left="360"/>
        <w:rPr>
          <w:rFonts w:cs="Calibri"/>
        </w:rPr>
      </w:pPr>
      <w:r w:rsidRPr="002F1980">
        <w:rPr>
          <w:rFonts w:cs="Calibri"/>
        </w:rPr>
        <w:t xml:space="preserve">  </w:t>
      </w:r>
    </w:p>
    <w:p w14:paraId="788B53CE" w14:textId="77777777" w:rsidR="006328BA" w:rsidRDefault="006328BA" w:rsidP="006328BA">
      <w:pPr>
        <w:rPr>
          <w:b/>
          <w:bCs/>
        </w:rPr>
      </w:pPr>
    </w:p>
    <w:p w14:paraId="6C9555DD" w14:textId="77777777" w:rsidR="006328BA" w:rsidRDefault="006328BA" w:rsidP="006328BA">
      <w:pPr>
        <w:rPr>
          <w:b/>
          <w:bCs/>
        </w:rPr>
      </w:pPr>
      <w:r>
        <w:rPr>
          <w:b/>
          <w:bCs/>
        </w:rPr>
        <w:t xml:space="preserve">Wat met gecombineerde effecten door blootstelling aan meerdere chemische stoffen? </w:t>
      </w:r>
    </w:p>
    <w:p w14:paraId="6254C0B3" w14:textId="6129C0CE" w:rsidR="003F06FD" w:rsidRDefault="003F06FD" w:rsidP="006328BA"/>
    <w:p w14:paraId="60F17D97" w14:textId="34D22C06" w:rsidR="75DD4F51" w:rsidRDefault="75DD4F51" w:rsidP="17131AAA">
      <w:pPr>
        <w:rPr>
          <w:rFonts w:ascii="Segoe UI" w:eastAsia="Segoe UI" w:hAnsi="Segoe UI" w:cs="Segoe UI"/>
          <w:i/>
          <w:iCs/>
          <w:color w:val="0F4C81" w:themeColor="accent1"/>
          <w:sz w:val="21"/>
          <w:szCs w:val="21"/>
          <w:lang w:val="nl-NL"/>
        </w:rPr>
      </w:pPr>
      <w:r w:rsidRPr="17131AAA">
        <w:rPr>
          <w:rFonts w:ascii="Segoe UI" w:eastAsia="Segoe UI" w:hAnsi="Segoe UI" w:cs="Segoe UI"/>
          <w:i/>
          <w:iCs/>
          <w:color w:val="0F4C81" w:themeColor="accent1"/>
          <w:sz w:val="21"/>
          <w:szCs w:val="21"/>
          <w:lang w:val="nl-NL"/>
        </w:rPr>
        <w:t xml:space="preserve">Bij het inschatten van gezondheidsrisico's wordt meestal per stof gekeken, maar mensen worden vaak aan meerdere stoffen tegelijk blootgesteld. Dit kan de risico's onderschatten, vooral als stoffen samen hetzelfde orgaan beïnvloeden. Het inschatten van gecombineerde effecten is moeilijk omdat er veel gegevens nodig zijn </w:t>
      </w:r>
      <w:r w:rsidR="00C7652B">
        <w:rPr>
          <w:rFonts w:ascii="Segoe UI" w:eastAsia="Segoe UI" w:hAnsi="Segoe UI" w:cs="Segoe UI"/>
          <w:i/>
          <w:iCs/>
          <w:color w:val="0F4C81" w:themeColor="accent1"/>
          <w:sz w:val="21"/>
          <w:szCs w:val="21"/>
          <w:lang w:val="nl-NL"/>
        </w:rPr>
        <w:t>welke (</w:t>
      </w:r>
      <w:r w:rsidR="0010136A">
        <w:rPr>
          <w:rFonts w:ascii="Segoe UI" w:eastAsia="Segoe UI" w:hAnsi="Segoe UI" w:cs="Segoe UI"/>
          <w:i/>
          <w:iCs/>
          <w:color w:val="0F4C81" w:themeColor="accent1"/>
          <w:sz w:val="21"/>
          <w:szCs w:val="21"/>
          <w:lang w:val="nl-NL"/>
        </w:rPr>
        <w:t>nog</w:t>
      </w:r>
      <w:r w:rsidR="00C7652B">
        <w:rPr>
          <w:rFonts w:ascii="Segoe UI" w:eastAsia="Segoe UI" w:hAnsi="Segoe UI" w:cs="Segoe UI"/>
          <w:i/>
          <w:iCs/>
          <w:color w:val="0F4C81" w:themeColor="accent1"/>
          <w:sz w:val="21"/>
          <w:szCs w:val="21"/>
          <w:lang w:val="nl-NL"/>
        </w:rPr>
        <w:t>)</w:t>
      </w:r>
      <w:r w:rsidR="0010136A">
        <w:rPr>
          <w:rFonts w:ascii="Segoe UI" w:eastAsia="Segoe UI" w:hAnsi="Segoe UI" w:cs="Segoe UI"/>
          <w:i/>
          <w:iCs/>
          <w:color w:val="0F4C81" w:themeColor="accent1"/>
          <w:sz w:val="21"/>
          <w:szCs w:val="21"/>
          <w:lang w:val="nl-NL"/>
        </w:rPr>
        <w:t xml:space="preserve"> niet voorhanden is</w:t>
      </w:r>
      <w:r w:rsidRPr="17131AAA">
        <w:rPr>
          <w:rFonts w:ascii="Segoe UI" w:eastAsia="Segoe UI" w:hAnsi="Segoe UI" w:cs="Segoe UI"/>
          <w:i/>
          <w:iCs/>
          <w:color w:val="0F4C81" w:themeColor="accent1"/>
          <w:sz w:val="21"/>
          <w:szCs w:val="21"/>
          <w:lang w:val="nl-NL"/>
        </w:rPr>
        <w:t>. Voor 1,2,4-triazool zijn de gemeten concentraties echter veel lager dan de toetsingswaarden, waardoor er voldoende rekening is gehouden met mogelijke gecombineerde effecten.</w:t>
      </w:r>
    </w:p>
    <w:p w14:paraId="7F8BCC34" w14:textId="76766B02" w:rsidR="17131AAA" w:rsidRDefault="17131AAA" w:rsidP="17131AAA">
      <w:pPr>
        <w:rPr>
          <w:rFonts w:ascii="Segoe UI" w:eastAsia="Segoe UI" w:hAnsi="Segoe UI" w:cs="Segoe UI"/>
          <w:color w:val="242424"/>
          <w:sz w:val="21"/>
          <w:szCs w:val="21"/>
          <w:lang w:val="nl-NL"/>
        </w:rPr>
      </w:pPr>
    </w:p>
    <w:p w14:paraId="380BDEBF" w14:textId="2B11BB8C" w:rsidR="006328BA" w:rsidRPr="000E2CA5" w:rsidRDefault="006328BA" w:rsidP="006328BA">
      <w:r w:rsidRPr="000E2CA5">
        <w:rPr>
          <w:lang w:val="nl-NL"/>
        </w:rPr>
        <w:t>Klassiek wordt</w:t>
      </w:r>
      <w:r>
        <w:rPr>
          <w:lang w:val="nl-NL"/>
        </w:rPr>
        <w:t xml:space="preserve"> bij</w:t>
      </w:r>
      <w:r w:rsidRPr="000E2CA5">
        <w:rPr>
          <w:lang w:val="nl-NL"/>
        </w:rPr>
        <w:t xml:space="preserve"> een milieugezondheidskundige risico</w:t>
      </w:r>
      <w:r>
        <w:rPr>
          <w:lang w:val="nl-NL"/>
        </w:rPr>
        <w:t xml:space="preserve">-inschatting </w:t>
      </w:r>
      <w:r w:rsidRPr="000E2CA5">
        <w:rPr>
          <w:lang w:val="nl-NL"/>
        </w:rPr>
        <w:t>enkel stof per stof gekeken of er al dan niet een probleem verwacht wordt voor de</w:t>
      </w:r>
      <w:r>
        <w:rPr>
          <w:lang w:val="nl-NL"/>
        </w:rPr>
        <w:t xml:space="preserve"> </w:t>
      </w:r>
      <w:r w:rsidRPr="000E2CA5">
        <w:rPr>
          <w:lang w:val="nl-NL"/>
        </w:rPr>
        <w:t xml:space="preserve">gezondheid. In de praktijk worden mensen </w:t>
      </w:r>
      <w:r>
        <w:rPr>
          <w:lang w:val="nl-NL"/>
        </w:rPr>
        <w:t xml:space="preserve">gedurende de volledige levensloop via verschillende wegen – zoals lucht, voeding, drinkwater - </w:t>
      </w:r>
      <w:r w:rsidRPr="000E2CA5">
        <w:rPr>
          <w:lang w:val="nl-NL"/>
        </w:rPr>
        <w:t xml:space="preserve">blootgesteld aan </w:t>
      </w:r>
      <w:r>
        <w:rPr>
          <w:lang w:val="nl-NL"/>
        </w:rPr>
        <w:t>verschillende chemische stoffen (of andere milieufactoren)</w:t>
      </w:r>
      <w:r w:rsidRPr="000E2CA5">
        <w:rPr>
          <w:lang w:val="nl-NL"/>
        </w:rPr>
        <w:t xml:space="preserve">. Een stof-per-stof aanpak kan de risico's van gecombineerde blootstelling in sommige gevallen onderschatten, zeker wanneer verschillende polluenten gezamenlijk effecten uitoefenen op hetzelfde orgaan(systeem). </w:t>
      </w:r>
    </w:p>
    <w:p w14:paraId="6569CFCA" w14:textId="77777777" w:rsidR="003F06FD" w:rsidRDefault="003F06FD" w:rsidP="006328BA"/>
    <w:p w14:paraId="3A6D08BF" w14:textId="687180DF" w:rsidR="006328BA" w:rsidRDefault="006328BA" w:rsidP="006328BA">
      <w:r>
        <w:t xml:space="preserve">Het is echter niet eenvoudig om gecombineerde effecten in te schatten. Om gecombineerde effecten te kunnen voorspellen zijn er uitgebreide gegevens over de individuele stoffen en hun interacties vereist. Deze informatie is vaak niet beschikbaar (zoals ook voor 1,2,4-triazool). Er kan dus niet volledig uitsluitsel worden gegeven over gecombineerde effecten. Maar omdat er een grote veiligheidsmarge in de toetsingswaarden voor 1,2,4-triazool is opgenomen en omdat de gemeten concentraties ruim onder de gezondheidskundige </w:t>
      </w:r>
      <w:r>
        <w:lastRenderedPageBreak/>
        <w:t xml:space="preserve">toetsingswaarden liggen, verwachten we dat er voldoende rekening is gehouden met eventuele gecombineerde effecten met andere stoffen. </w:t>
      </w:r>
    </w:p>
    <w:p w14:paraId="03F56C8B" w14:textId="77777777" w:rsidR="006328BA" w:rsidRDefault="006328BA" w:rsidP="006328BA"/>
    <w:p w14:paraId="2E6C9003" w14:textId="77777777" w:rsidR="003F06FD" w:rsidRDefault="003F06FD" w:rsidP="006328BA"/>
    <w:p w14:paraId="7951CC36" w14:textId="77777777" w:rsidR="006328BA" w:rsidRPr="007F4FE4" w:rsidRDefault="006328BA" w:rsidP="006328BA">
      <w:pPr>
        <w:rPr>
          <w:b/>
          <w:bCs/>
        </w:rPr>
      </w:pPr>
      <w:r w:rsidRPr="007F4FE4">
        <w:rPr>
          <w:b/>
          <w:bCs/>
        </w:rPr>
        <w:t xml:space="preserve">Welk advies gaf het Departement Zorg in het kader van de afwijkingsaanvraag? </w:t>
      </w:r>
    </w:p>
    <w:p w14:paraId="11037214" w14:textId="6C960DC2" w:rsidR="003F06FD" w:rsidRDefault="003F06FD" w:rsidP="006328BA"/>
    <w:p w14:paraId="77310B95" w14:textId="21BA1936" w:rsidR="4F7A46EC" w:rsidRDefault="29BC4528" w:rsidP="2FCED3EB">
      <w:pPr>
        <w:rPr>
          <w:rFonts w:ascii="Segoe UI" w:eastAsia="Segoe UI" w:hAnsi="Segoe UI" w:cs="Segoe UI"/>
          <w:i/>
          <w:iCs/>
          <w:color w:val="0F4C81" w:themeColor="accent1"/>
          <w:sz w:val="21"/>
          <w:szCs w:val="21"/>
        </w:rPr>
      </w:pPr>
      <w:r w:rsidRPr="2FCED3EB">
        <w:rPr>
          <w:i/>
          <w:iCs/>
          <w:color w:val="0F4C81" w:themeColor="accent1"/>
        </w:rPr>
        <w:t xml:space="preserve">Het Departement Zorg gaf een gunstig advies voor de afwijking voor 1,2,4-triazool in drinkwater omdat de gemeten waarden voor 1,2,4-triazool in drinkwater veel lager zijn dan de </w:t>
      </w:r>
      <w:r w:rsidRPr="2FCED3EB">
        <w:rPr>
          <w:rFonts w:ascii="Segoe UI" w:eastAsia="Segoe UI" w:hAnsi="Segoe UI" w:cs="Segoe UI"/>
          <w:i/>
          <w:iCs/>
          <w:color w:val="0F4C81" w:themeColor="accent1"/>
          <w:sz w:val="21"/>
          <w:szCs w:val="21"/>
        </w:rPr>
        <w:t>gezondheidskundige toetsingswaarden en er dus geen gevaar is voor de gezondheid van d</w:t>
      </w:r>
      <w:r w:rsidR="5A0C3F54" w:rsidRPr="2FCED3EB">
        <w:rPr>
          <w:rFonts w:ascii="Segoe UI" w:eastAsia="Segoe UI" w:hAnsi="Segoe UI" w:cs="Segoe UI"/>
          <w:i/>
          <w:iCs/>
          <w:color w:val="0F4C81" w:themeColor="accent1"/>
          <w:sz w:val="21"/>
          <w:szCs w:val="21"/>
        </w:rPr>
        <w:t>e gebruikers. Er werd aanbevolen om de maximale concentratie te beperken tot 1 µg/l, wat haalbaar lijkt en het principe ondersteunt om de vervuiling zo laag mogelijk te houden.</w:t>
      </w:r>
    </w:p>
    <w:p w14:paraId="225CD0E3" w14:textId="6F8F8237" w:rsidR="7FCC605A" w:rsidRDefault="7FCC605A" w:rsidP="7FCC605A">
      <w:pPr>
        <w:rPr>
          <w:rFonts w:ascii="Segoe UI" w:eastAsia="Segoe UI" w:hAnsi="Segoe UI" w:cs="Segoe UI"/>
          <w:color w:val="242424"/>
          <w:sz w:val="21"/>
          <w:szCs w:val="21"/>
        </w:rPr>
      </w:pPr>
    </w:p>
    <w:p w14:paraId="52142AE7" w14:textId="27555DFD" w:rsidR="006328BA" w:rsidRPr="00544504" w:rsidRDefault="006328BA" w:rsidP="006328BA">
      <w:r w:rsidRPr="00544504">
        <w:t>Gezien de gerapporteerde maximale meetwaarden voor 1,2,4-triazool in drinkwater ruim onder de gezondheidskundige toetsingswaarden l</w:t>
      </w:r>
      <w:r>
        <w:t>age</w:t>
      </w:r>
      <w:r w:rsidRPr="00544504">
        <w:t xml:space="preserve">n, gaven we een gunstig advies voor de afwijking. We verwachten namelijk geen negatieve gezondheidseffecten bij de gebruikers. </w:t>
      </w:r>
    </w:p>
    <w:p w14:paraId="322FF816" w14:textId="77777777" w:rsidR="003F06FD" w:rsidRDefault="003F06FD" w:rsidP="006328BA"/>
    <w:p w14:paraId="6ABEC059" w14:textId="5D55732A" w:rsidR="006328BA" w:rsidRPr="00544504" w:rsidRDefault="006328BA" w:rsidP="006328BA">
      <w:r w:rsidRPr="00544504">
        <w:t xml:space="preserve">We verwezen in ons advies in eerste instantie naar de maximale meetwaarden in drinkwater omdat het ook deze </w:t>
      </w:r>
      <w:r>
        <w:t>waren</w:t>
      </w:r>
      <w:r w:rsidRPr="00544504">
        <w:t xml:space="preserve"> die</w:t>
      </w:r>
      <w:r>
        <w:t xml:space="preserve"> in eerste instantie </w:t>
      </w:r>
      <w:r w:rsidRPr="00544504">
        <w:t xml:space="preserve">werden gerapporteerd in het kader van de afwijkingsaanvraag. Maar vanuit gezondheidskundig oogpunt gezien zijn de </w:t>
      </w:r>
      <w:r>
        <w:t>jaar</w:t>
      </w:r>
      <w:r w:rsidRPr="00544504">
        <w:t xml:space="preserve">gemiddelde concentraties eigenlijk relevanter. Gemiddelde concentraties geven immers een beeld van de concentraties waaraan de gebruikers gemiddeld genomen over een langere termijn blootgesteld worden. De regelmatige monitoring die </w:t>
      </w:r>
      <w:r>
        <w:t xml:space="preserve">nu </w:t>
      </w:r>
      <w:r w:rsidRPr="00544504">
        <w:t xml:space="preserve">gebeurt, zal </w:t>
      </w:r>
      <w:r>
        <w:t xml:space="preserve">hiervan dus </w:t>
      </w:r>
      <w:r w:rsidRPr="00544504">
        <w:t xml:space="preserve">een beter beeld geven. </w:t>
      </w:r>
    </w:p>
    <w:p w14:paraId="39DC8E8C" w14:textId="77777777" w:rsidR="003F06FD" w:rsidRDefault="003F06FD" w:rsidP="006328BA"/>
    <w:p w14:paraId="32E60DC5" w14:textId="4C3C2176" w:rsidR="006328BA" w:rsidRPr="00544504" w:rsidRDefault="006328BA" w:rsidP="006328BA">
      <w:r>
        <w:t xml:space="preserve">Daarnaast gaven we in </w:t>
      </w:r>
      <w:r w:rsidRPr="00544504">
        <w:t xml:space="preserve">ons advies </w:t>
      </w:r>
      <w:r>
        <w:t xml:space="preserve">ook de aanbeveling mee </w:t>
      </w:r>
      <w:r w:rsidRPr="00544504">
        <w:t>om de maximale concentratie in de afwijking te beperken tot 1 µg/l</w:t>
      </w:r>
      <w:r>
        <w:t xml:space="preserve"> (dus lager dan de gezondheidskundige toetsingswaarden)</w:t>
      </w:r>
      <w:r w:rsidRPr="00544504">
        <w:t xml:space="preserve">. Op basis van de metingen lijkt deze concentratie namelijk haalbaar en het ondersteunt het algemene principe om te streven naar zo laag mogelijke concentraties van polluenten in drinkwater. </w:t>
      </w:r>
    </w:p>
    <w:p w14:paraId="3EAB0693" w14:textId="77777777" w:rsidR="006328BA" w:rsidRDefault="006328BA" w:rsidP="006328BA"/>
    <w:p w14:paraId="4227FE3C" w14:textId="77777777" w:rsidR="006328BA" w:rsidRDefault="006328BA" w:rsidP="006328BA"/>
    <w:p w14:paraId="13510C8E" w14:textId="77777777" w:rsidR="006328BA" w:rsidRDefault="006328BA" w:rsidP="006328BA"/>
    <w:p w14:paraId="0A2AAEF9" w14:textId="77777777" w:rsidR="003D6944" w:rsidRPr="00680526" w:rsidRDefault="003D6944" w:rsidP="003D6944">
      <w:pPr>
        <w:spacing w:line="240" w:lineRule="auto"/>
        <w:rPr>
          <w:rFonts w:cs="Calibri"/>
        </w:rPr>
      </w:pPr>
    </w:p>
    <w:p w14:paraId="22873298" w14:textId="77777777" w:rsidR="003D6944" w:rsidRPr="00680526" w:rsidRDefault="003D6944" w:rsidP="00DC61D8">
      <w:pPr>
        <w:spacing w:line="240" w:lineRule="auto"/>
      </w:pPr>
    </w:p>
    <w:sectPr w:rsidR="003D6944" w:rsidRPr="00680526" w:rsidSect="00B3350A">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FE12" w14:textId="77777777" w:rsidR="001543DE" w:rsidRDefault="001543DE" w:rsidP="003D6944">
      <w:pPr>
        <w:spacing w:line="240" w:lineRule="auto"/>
      </w:pPr>
      <w:r>
        <w:separator/>
      </w:r>
    </w:p>
  </w:endnote>
  <w:endnote w:type="continuationSeparator" w:id="0">
    <w:p w14:paraId="7657AAE2" w14:textId="77777777" w:rsidR="001543DE" w:rsidRDefault="001543DE" w:rsidP="003D6944">
      <w:pPr>
        <w:spacing w:line="240" w:lineRule="auto"/>
      </w:pPr>
      <w:r>
        <w:continuationSeparator/>
      </w:r>
    </w:p>
  </w:endnote>
  <w:endnote w:type="continuationNotice" w:id="1">
    <w:p w14:paraId="6AE738EE" w14:textId="77777777" w:rsidR="001543DE" w:rsidRDefault="001543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6C78" w14:textId="77777777" w:rsidR="009468C8" w:rsidRPr="009468C8" w:rsidRDefault="009468C8" w:rsidP="009468C8">
    <w:pPr>
      <w:pStyle w:val="Koptekst"/>
      <w:tabs>
        <w:tab w:val="clear" w:pos="4536"/>
        <w:tab w:val="clear" w:pos="9072"/>
        <w:tab w:val="right" w:pos="9921"/>
      </w:tabs>
      <w:spacing w:before="200" w:after="120"/>
      <w:jc w:val="center"/>
      <w:rPr>
        <w:rFonts w:cs="Calibri"/>
        <w:sz w:val="18"/>
        <w:szCs w:val="18"/>
      </w:rPr>
    </w:pPr>
    <w:r>
      <w:rPr>
        <w:noProof/>
      </w:rPr>
      <mc:AlternateContent>
        <mc:Choice Requires="wps">
          <w:drawing>
            <wp:anchor distT="0" distB="0" distL="0" distR="0" simplePos="0" relativeHeight="251658241" behindDoc="0" locked="0" layoutInCell="1" allowOverlap="1" wp14:anchorId="0D26505C" wp14:editId="11E5840F">
              <wp:simplePos x="0" y="0"/>
              <wp:positionH relativeFrom="margin">
                <wp:align>left</wp:align>
              </wp:positionH>
              <wp:positionV relativeFrom="paragraph">
                <wp:posOffset>78105</wp:posOffset>
              </wp:positionV>
              <wp:extent cx="5219700" cy="45720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5219700" cy="457200"/>
                      </a:xfrm>
                      <a:prstGeom prst="rect">
                        <a:avLst/>
                      </a:prstGeom>
                      <a:noFill/>
                      <a:ln w="6350">
                        <a:noFill/>
                      </a:ln>
                    </wps:spPr>
                    <wps:txbx>
                      <w:txbxContent>
                        <w:p w14:paraId="6A21B42A" w14:textId="64082D18" w:rsidR="009468C8" w:rsidRPr="00ED00D1" w:rsidRDefault="008E0C8D" w:rsidP="005C281C">
                          <w:pPr>
                            <w:pStyle w:val="voettekstnota"/>
                            <w:spacing w:before="0" w:after="0"/>
                          </w:pPr>
                          <w:sdt>
                            <w:sdtPr>
                              <w:rPr>
                                <w:rStyle w:val="voettekstnotaChar"/>
                                <w:szCs w:val="18"/>
                              </w:rPr>
                              <w:alias w:val="Title"/>
                              <w:tag w:val=""/>
                              <w:id w:val="-800450718"/>
                              <w:placeholder>
                                <w:docPart w:val="F5A2F179B9664AE3AD673A8AD42C0819"/>
                              </w:placeholder>
                              <w:dataBinding w:prefixMappings="xmlns:ns0='http://purl.org/dc/elements/1.1/' xmlns:ns1='http://schemas.openxmlformats.org/package/2006/metadata/core-properties' " w:xpath="/ns1:coreProperties[1]/ns0:title[1]" w:storeItemID="{6C3C8BC8-F283-45AE-878A-BAB7291924A1}"/>
                              <w:text/>
                            </w:sdtPr>
                            <w:sdtEndPr>
                              <w:rPr>
                                <w:rStyle w:val="Titelvanboek"/>
                                <w:rFonts w:cs="Calibri"/>
                                <w:b/>
                                <w:bCs/>
                                <w:sz w:val="24"/>
                              </w:rPr>
                            </w:sdtEndPr>
                            <w:sdtContent>
                              <w:r w:rsidR="00641DE5">
                                <w:rPr>
                                  <w:rStyle w:val="voettekstnotaChar"/>
                                  <w:szCs w:val="18"/>
                                </w:rPr>
                                <w:t>Veel gestelde vragen rond de gezondheidsaspecten van 1,2,4-triazool in drinkwater</w:t>
                              </w:r>
                            </w:sdtContent>
                          </w:sdt>
                          <w:r w:rsidR="009468C8" w:rsidRPr="00ED00D1">
                            <w:fldChar w:fldCharType="begin"/>
                          </w:r>
                          <w:r w:rsidR="009468C8" w:rsidRPr="00ED00D1">
                            <w:instrText xml:space="preserve"> TITLE   \* MERGEFORMAT </w:instrText>
                          </w:r>
                          <w:r w:rsidR="009468C8" w:rsidRPr="00ED00D1">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6505C" id="_x0000_t202" coordsize="21600,21600" o:spt="202" path="m,l,21600r21600,l21600,xe">
              <v:stroke joinstyle="miter"/>
              <v:path gradientshapeok="t" o:connecttype="rect"/>
            </v:shapetype>
            <v:shape id="Tekstvak 1" o:spid="_x0000_s1027" type="#_x0000_t202" style="position:absolute;left:0;text-align:left;margin-left:0;margin-top:6.15pt;width:411pt;height:36pt;z-index:251658241;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1FQ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jHy9lkfHebo4ujbzq7RV5imuzy2jofvgnQJBoldUhLQosd&#10;1j70oaeQWMzAqlEqUaMMaUt683mWpwdnDyZXBmtceo1W6LbdMMAWqiPO5aCn3Fu+arD4mvnwwhxy&#10;jP2ibsMzLlIBFoHBoqQG9+tv9zEeoUcvJS1qpqT+5545QYn6bpCUu/F0GkWWDgkISty1Z3vtMXv9&#10;ACjLMf4Qy5OJj11QJ1M60G8o72Wsii5mONYuaTiZD6FXMn4PLpbLFISysiyszcbymDrCGaF97d6Y&#10;swP+AZl7gpO6WPGOhj62J2K5DyCbxFEEuEd1wB0lmVgevk/U/PU5RV0++eI3AAAA//8DAFBLAwQU&#10;AAYACAAAACEAIgFCot0AAAAGAQAADwAAAGRycy9kb3ducmV2LnhtbEyPQU/DMAyF70j8h8hI3FhK&#10;BqgqTaep0oSE4LCxCze3ydqKxClNthV+PeYEN/s96/l75Wr2TpzsFIdAGm4XGQhLbTADdRr2b5ub&#10;HERMSAZdIKvhy0ZYVZcXJRYmnGlrT7vUCQ6hWKCGPqWxkDK2vfUYF2G0xN4hTB4Tr1MnzYRnDvdO&#10;qix7kB4H4g89jrbubfuxO3oNz/XmFbeN8vm3q59eDuvxc/9+r/X11bx+BJHsnP6O4Ref0aFipiYc&#10;yUThNHCRxKpagmA3V4qFhoe7JciqlP/xqx8AAAD//wMAUEsBAi0AFAAGAAgAAAAhALaDOJL+AAAA&#10;4QEAABMAAAAAAAAAAAAAAAAAAAAAAFtDb250ZW50X1R5cGVzXS54bWxQSwECLQAUAAYACAAAACEA&#10;OP0h/9YAAACUAQAACwAAAAAAAAAAAAAAAAAvAQAAX3JlbHMvLnJlbHNQSwECLQAUAAYACAAAACEA&#10;/lbINRUCAAAsBAAADgAAAAAAAAAAAAAAAAAuAgAAZHJzL2Uyb0RvYy54bWxQSwECLQAUAAYACAAA&#10;ACEAIgFCot0AAAAGAQAADwAAAAAAAAAAAAAAAABvBAAAZHJzL2Rvd25yZXYueG1sUEsFBgAAAAAE&#10;AAQA8wAAAHkFAAAAAA==&#10;" filled="f" stroked="f" strokeweight=".5pt">
              <v:textbox>
                <w:txbxContent>
                  <w:p w14:paraId="6A21B42A" w14:textId="64082D18" w:rsidR="009468C8" w:rsidRPr="00ED00D1" w:rsidRDefault="008E0C8D" w:rsidP="005C281C">
                    <w:pPr>
                      <w:pStyle w:val="voettekstnota"/>
                      <w:spacing w:before="0" w:after="0"/>
                    </w:pPr>
                    <w:sdt>
                      <w:sdtPr>
                        <w:rPr>
                          <w:rStyle w:val="voettekstnotaChar"/>
                          <w:szCs w:val="18"/>
                        </w:rPr>
                        <w:alias w:val="Title"/>
                        <w:tag w:val=""/>
                        <w:id w:val="-800450718"/>
                        <w:placeholder>
                          <w:docPart w:val="F5A2F179B9664AE3AD673A8AD42C0819"/>
                        </w:placeholder>
                        <w:dataBinding w:prefixMappings="xmlns:ns0='http://purl.org/dc/elements/1.1/' xmlns:ns1='http://schemas.openxmlformats.org/package/2006/metadata/core-properties' " w:xpath="/ns1:coreProperties[1]/ns0:title[1]" w:storeItemID="{6C3C8BC8-F283-45AE-878A-BAB7291924A1}"/>
                        <w:text/>
                      </w:sdtPr>
                      <w:sdtEndPr>
                        <w:rPr>
                          <w:rStyle w:val="Titelvanboek"/>
                          <w:rFonts w:cs="Calibri"/>
                          <w:b/>
                          <w:bCs/>
                          <w:sz w:val="24"/>
                        </w:rPr>
                      </w:sdtEndPr>
                      <w:sdtContent>
                        <w:r w:rsidR="00641DE5">
                          <w:rPr>
                            <w:rStyle w:val="voettekstnotaChar"/>
                            <w:szCs w:val="18"/>
                          </w:rPr>
                          <w:t>Veel gestelde vragen rond de gezondheidsaspecten van 1,2,4-triazool in drinkwater</w:t>
                        </w:r>
                      </w:sdtContent>
                    </w:sdt>
                    <w:r w:rsidR="009468C8" w:rsidRPr="00ED00D1">
                      <w:fldChar w:fldCharType="begin"/>
                    </w:r>
                    <w:r w:rsidR="009468C8" w:rsidRPr="00ED00D1">
                      <w:instrText xml:space="preserve"> TITLE   \* MERGEFORMAT </w:instrText>
                    </w:r>
                    <w:r w:rsidR="009468C8" w:rsidRPr="00ED00D1">
                      <w:fldChar w:fldCharType="end"/>
                    </w:r>
                  </w:p>
                </w:txbxContent>
              </v:textbox>
              <w10:wrap type="square" anchorx="margin"/>
            </v:shape>
          </w:pict>
        </mc:Fallback>
      </mc:AlternateContent>
    </w:r>
    <w:r w:rsidR="00846903" w:rsidRPr="00742D22">
      <w:rPr>
        <w:rFonts w:ascii="FlandersArtSans-Regular" w:hAnsi="FlandersArtSans-Regular" w:cs="Calibri"/>
        <w:sz w:val="18"/>
        <w:szCs w:val="18"/>
      </w:rPr>
      <w:tab/>
    </w:r>
    <w:r w:rsidR="00846903" w:rsidRPr="006556EE">
      <w:rPr>
        <w:rFonts w:cs="Calibri"/>
        <w:sz w:val="18"/>
        <w:szCs w:val="18"/>
      </w:rPr>
      <w:t xml:space="preserve">pagina </w:t>
    </w:r>
    <w:r w:rsidR="00846903" w:rsidRPr="006556EE">
      <w:rPr>
        <w:rFonts w:cs="Calibri"/>
        <w:sz w:val="18"/>
        <w:szCs w:val="18"/>
      </w:rPr>
      <w:fldChar w:fldCharType="begin"/>
    </w:r>
    <w:r w:rsidR="00846903" w:rsidRPr="006556EE">
      <w:rPr>
        <w:rFonts w:cs="Calibri"/>
        <w:sz w:val="18"/>
        <w:szCs w:val="18"/>
      </w:rPr>
      <w:instrText xml:space="preserve"> PAGE </w:instrText>
    </w:r>
    <w:r w:rsidR="00846903" w:rsidRPr="006556EE">
      <w:rPr>
        <w:rFonts w:cs="Calibri"/>
        <w:sz w:val="18"/>
        <w:szCs w:val="18"/>
      </w:rPr>
      <w:fldChar w:fldCharType="separate"/>
    </w:r>
    <w:r w:rsidR="00A20674">
      <w:rPr>
        <w:rFonts w:cs="Calibri"/>
        <w:noProof/>
        <w:sz w:val="18"/>
        <w:szCs w:val="18"/>
      </w:rPr>
      <w:t>2</w:t>
    </w:r>
    <w:r w:rsidR="00846903" w:rsidRPr="006556EE">
      <w:rPr>
        <w:rFonts w:cs="Calibri"/>
        <w:sz w:val="18"/>
        <w:szCs w:val="18"/>
      </w:rPr>
      <w:fldChar w:fldCharType="end"/>
    </w:r>
    <w:r w:rsidR="00846903" w:rsidRPr="006556EE">
      <w:rPr>
        <w:rFonts w:cs="Calibri"/>
        <w:sz w:val="18"/>
        <w:szCs w:val="18"/>
      </w:rPr>
      <w:t xml:space="preserve"> van </w:t>
    </w:r>
    <w:r w:rsidR="00846903" w:rsidRPr="006556EE">
      <w:rPr>
        <w:rStyle w:val="Paginanummer"/>
        <w:rFonts w:cs="Calibri"/>
        <w:sz w:val="18"/>
        <w:szCs w:val="18"/>
      </w:rPr>
      <w:fldChar w:fldCharType="begin"/>
    </w:r>
    <w:r w:rsidR="00846903" w:rsidRPr="006556EE">
      <w:rPr>
        <w:rStyle w:val="Paginanummer"/>
        <w:rFonts w:cs="Calibri"/>
        <w:sz w:val="18"/>
        <w:szCs w:val="18"/>
      </w:rPr>
      <w:instrText xml:space="preserve"> NUMPAGES </w:instrText>
    </w:r>
    <w:r w:rsidR="00846903" w:rsidRPr="006556EE">
      <w:rPr>
        <w:rStyle w:val="Paginanummer"/>
        <w:rFonts w:cs="Calibri"/>
        <w:sz w:val="18"/>
        <w:szCs w:val="18"/>
      </w:rPr>
      <w:fldChar w:fldCharType="separate"/>
    </w:r>
    <w:r w:rsidR="00A20674">
      <w:rPr>
        <w:rStyle w:val="Paginanummer"/>
        <w:rFonts w:cs="Calibri"/>
        <w:noProof/>
        <w:sz w:val="18"/>
        <w:szCs w:val="18"/>
      </w:rPr>
      <w:t>2</w:t>
    </w:r>
    <w:r w:rsidR="00846903" w:rsidRPr="006556EE">
      <w:rPr>
        <w:rStyle w:val="Paginanummer"/>
        <w:rFonts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6075" w14:textId="77777777" w:rsidR="003F06FD" w:rsidRPr="000C59C7" w:rsidRDefault="00FE26A6" w:rsidP="0031701C">
    <w:pPr>
      <w:pStyle w:val="Koptekst"/>
      <w:tabs>
        <w:tab w:val="clear" w:pos="4536"/>
        <w:tab w:val="clear" w:pos="9072"/>
        <w:tab w:val="right" w:pos="9921"/>
      </w:tabs>
      <w:spacing w:before="200" w:after="120"/>
    </w:pPr>
    <w:r w:rsidRPr="00FE26A6">
      <w:rPr>
        <w:rFonts w:ascii="FlandersArtSans-Regular" w:eastAsia="Calibri" w:hAnsi="FlandersArtSans-Regular" w:cs="Calibri"/>
        <w:noProof/>
        <w:color w:val="1C1A15"/>
        <w:sz w:val="16"/>
        <w:szCs w:val="18"/>
      </w:rPr>
      <w:drawing>
        <wp:anchor distT="0" distB="0" distL="114300" distR="114300" simplePos="0" relativeHeight="251658240" behindDoc="0" locked="0" layoutInCell="1" allowOverlap="1" wp14:anchorId="2D07F47D" wp14:editId="253B2C5D">
          <wp:simplePos x="0" y="0"/>
          <wp:positionH relativeFrom="page">
            <wp:posOffset>721360</wp:posOffset>
          </wp:positionH>
          <wp:positionV relativeFrom="page">
            <wp:posOffset>9721215</wp:posOffset>
          </wp:positionV>
          <wp:extent cx="1274400" cy="540000"/>
          <wp:effectExtent l="0" t="0" r="2540" b="0"/>
          <wp:wrapNone/>
          <wp:docPr id="3" name="Afbeelding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846903" w:rsidRPr="000C59C7">
      <w:rPr>
        <w:rFonts w:cs="Calibri"/>
        <w:sz w:val="18"/>
        <w:szCs w:val="18"/>
      </w:rPr>
      <w:tab/>
      <w:t xml:space="preserve">pagina </w:t>
    </w:r>
    <w:r w:rsidR="00846903" w:rsidRPr="000C59C7">
      <w:rPr>
        <w:rFonts w:cs="Calibri"/>
        <w:sz w:val="18"/>
        <w:szCs w:val="18"/>
      </w:rPr>
      <w:fldChar w:fldCharType="begin"/>
    </w:r>
    <w:r w:rsidR="00846903" w:rsidRPr="000C59C7">
      <w:rPr>
        <w:rFonts w:cs="Calibri"/>
        <w:sz w:val="18"/>
        <w:szCs w:val="18"/>
      </w:rPr>
      <w:instrText xml:space="preserve"> PAGE </w:instrText>
    </w:r>
    <w:r w:rsidR="00846903" w:rsidRPr="000C59C7">
      <w:rPr>
        <w:rFonts w:cs="Calibri"/>
        <w:sz w:val="18"/>
        <w:szCs w:val="18"/>
      </w:rPr>
      <w:fldChar w:fldCharType="separate"/>
    </w:r>
    <w:r w:rsidR="00A20674" w:rsidRPr="000C59C7">
      <w:rPr>
        <w:rFonts w:cs="Calibri"/>
        <w:noProof/>
        <w:sz w:val="18"/>
        <w:szCs w:val="18"/>
      </w:rPr>
      <w:t>1</w:t>
    </w:r>
    <w:r w:rsidR="00846903" w:rsidRPr="000C59C7">
      <w:rPr>
        <w:rFonts w:cs="Calibri"/>
        <w:sz w:val="18"/>
        <w:szCs w:val="18"/>
      </w:rPr>
      <w:fldChar w:fldCharType="end"/>
    </w:r>
    <w:r w:rsidR="00846903" w:rsidRPr="000C59C7">
      <w:rPr>
        <w:rFonts w:cs="Calibri"/>
        <w:sz w:val="18"/>
        <w:szCs w:val="18"/>
      </w:rPr>
      <w:t xml:space="preserve"> van </w:t>
    </w:r>
    <w:r w:rsidR="00846903" w:rsidRPr="000C59C7">
      <w:rPr>
        <w:rStyle w:val="Paginanummer"/>
        <w:rFonts w:cs="Calibri"/>
        <w:sz w:val="18"/>
        <w:szCs w:val="18"/>
      </w:rPr>
      <w:fldChar w:fldCharType="begin"/>
    </w:r>
    <w:r w:rsidR="00846903" w:rsidRPr="000C59C7">
      <w:rPr>
        <w:rStyle w:val="Paginanummer"/>
        <w:rFonts w:cs="Calibri"/>
        <w:sz w:val="18"/>
        <w:szCs w:val="18"/>
      </w:rPr>
      <w:instrText xml:space="preserve"> NUMPAGES </w:instrText>
    </w:r>
    <w:r w:rsidR="00846903" w:rsidRPr="000C59C7">
      <w:rPr>
        <w:rStyle w:val="Paginanummer"/>
        <w:rFonts w:cs="Calibri"/>
        <w:sz w:val="18"/>
        <w:szCs w:val="18"/>
      </w:rPr>
      <w:fldChar w:fldCharType="separate"/>
    </w:r>
    <w:r w:rsidR="00A20674" w:rsidRPr="000C59C7">
      <w:rPr>
        <w:rStyle w:val="Paginanummer"/>
        <w:rFonts w:cs="Calibri"/>
        <w:noProof/>
        <w:sz w:val="18"/>
        <w:szCs w:val="18"/>
      </w:rPr>
      <w:t>2</w:t>
    </w:r>
    <w:r w:rsidR="00846903" w:rsidRPr="000C59C7">
      <w:rPr>
        <w:rStyle w:val="Paginanummer"/>
        <w:rFonts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6377" w14:textId="77777777" w:rsidR="001543DE" w:rsidRDefault="001543DE" w:rsidP="003D6944">
      <w:pPr>
        <w:spacing w:line="240" w:lineRule="auto"/>
      </w:pPr>
      <w:r>
        <w:separator/>
      </w:r>
    </w:p>
  </w:footnote>
  <w:footnote w:type="continuationSeparator" w:id="0">
    <w:p w14:paraId="01E5E50B" w14:textId="77777777" w:rsidR="001543DE" w:rsidRDefault="001543DE" w:rsidP="003D6944">
      <w:pPr>
        <w:spacing w:line="240" w:lineRule="auto"/>
      </w:pPr>
      <w:r>
        <w:continuationSeparator/>
      </w:r>
    </w:p>
  </w:footnote>
  <w:footnote w:type="continuationNotice" w:id="1">
    <w:p w14:paraId="24C3A29F" w14:textId="77777777" w:rsidR="001543DE" w:rsidRDefault="001543DE">
      <w:pPr>
        <w:spacing w:line="240" w:lineRule="auto"/>
      </w:pPr>
    </w:p>
  </w:footnote>
  <w:footnote w:id="2">
    <w:p w14:paraId="22073A19" w14:textId="3680EF05" w:rsidR="006328BA" w:rsidRPr="002E7E3C" w:rsidRDefault="006328BA" w:rsidP="002E7E3C">
      <w:pPr>
        <w:spacing w:line="240" w:lineRule="auto"/>
        <w:jc w:val="both"/>
        <w:rPr>
          <w:i/>
          <w:iCs/>
          <w:sz w:val="20"/>
          <w:szCs w:val="20"/>
        </w:rPr>
      </w:pPr>
      <w:r w:rsidRPr="00FA33F0">
        <w:rPr>
          <w:rStyle w:val="Voetnootmarkering"/>
          <w:i/>
          <w:iCs/>
          <w:sz w:val="20"/>
          <w:szCs w:val="20"/>
        </w:rPr>
        <w:footnoteRef/>
      </w:r>
      <w:r w:rsidRPr="00FA33F0">
        <w:rPr>
          <w:i/>
          <w:iCs/>
          <w:sz w:val="20"/>
          <w:szCs w:val="20"/>
        </w:rPr>
        <w:t xml:space="preserve"> Wanneer de concentratie van een stof boven een gezondheidskundige toetsingswaarde ligt, is er een </w:t>
      </w:r>
      <w:r w:rsidRPr="00962587">
        <w:rPr>
          <w:i/>
          <w:iCs/>
          <w:sz w:val="20"/>
          <w:szCs w:val="20"/>
          <w:u w:val="single"/>
        </w:rPr>
        <w:t>risico op</w:t>
      </w:r>
      <w:r w:rsidRPr="00FA33F0">
        <w:rPr>
          <w:i/>
          <w:iCs/>
          <w:sz w:val="20"/>
          <w:szCs w:val="20"/>
        </w:rPr>
        <w:t xml:space="preserve"> negatieve gezondheidseffecten. </w:t>
      </w:r>
      <w:r>
        <w:rPr>
          <w:i/>
          <w:iCs/>
          <w:sz w:val="20"/>
          <w:szCs w:val="20"/>
        </w:rPr>
        <w:t>Dit betekent echter</w:t>
      </w:r>
      <w:r w:rsidRPr="00FA33F0">
        <w:rPr>
          <w:i/>
          <w:iCs/>
          <w:sz w:val="20"/>
          <w:szCs w:val="20"/>
        </w:rPr>
        <w:t xml:space="preserve"> niet </w:t>
      </w:r>
      <w:r>
        <w:rPr>
          <w:i/>
          <w:iCs/>
          <w:sz w:val="20"/>
          <w:szCs w:val="20"/>
        </w:rPr>
        <w:t>dat</w:t>
      </w:r>
      <w:r w:rsidRPr="00FA33F0">
        <w:rPr>
          <w:i/>
          <w:iCs/>
          <w:sz w:val="20"/>
          <w:szCs w:val="20"/>
        </w:rPr>
        <w:t xml:space="preserve"> er negatieve gezondheidseffecten zullen optreden. Er zijn namelijk veiligheidsfactoren ingebouwd bij de afleiding van gezondheidskundige toetsingswaarden. Een toetsingswaarde moet dus niet als strikte drempel gezien worden tussen geen en wel gezondheidseffecten. </w:t>
      </w:r>
    </w:p>
  </w:footnote>
  <w:footnote w:id="3">
    <w:p w14:paraId="7F9D52E7" w14:textId="5E6820D2" w:rsidR="002E7E3C" w:rsidRPr="002E7E3C" w:rsidRDefault="002E7E3C" w:rsidP="002E7E3C">
      <w:pPr>
        <w:pStyle w:val="Voetnoottekst"/>
        <w:rPr>
          <w:lang w:val="en-US"/>
        </w:rPr>
      </w:pPr>
      <w:r>
        <w:rPr>
          <w:rStyle w:val="Voetnootmarkering"/>
        </w:rPr>
        <w:footnoteRef/>
      </w:r>
      <w:r w:rsidRPr="002E7E3C">
        <w:rPr>
          <w:lang w:val="en-US"/>
        </w:rPr>
        <w:t xml:space="preserve"> </w:t>
      </w:r>
      <w:hyperlink r:id="rId1" w:history="1">
        <w:r w:rsidR="002436AA" w:rsidRPr="002436AA">
          <w:rPr>
            <w:rStyle w:val="Hyperlink"/>
            <w:lang w:val="en-US"/>
          </w:rPr>
          <w:t>2021 Human Health Benchmarks for Pesticides | US EPA</w:t>
        </w:r>
      </w:hyperlink>
    </w:p>
  </w:footnote>
  <w:footnote w:id="4">
    <w:p w14:paraId="05601D72" w14:textId="09D77BCD" w:rsidR="0032383D" w:rsidRPr="0032383D" w:rsidRDefault="0032383D">
      <w:pPr>
        <w:pStyle w:val="Voetnoottekst"/>
        <w:rPr>
          <w:lang w:val="en-US"/>
        </w:rPr>
      </w:pPr>
      <w:r>
        <w:rPr>
          <w:rStyle w:val="Voetnootmarkering"/>
        </w:rPr>
        <w:footnoteRef/>
      </w:r>
      <w:r w:rsidRPr="0032383D">
        <w:rPr>
          <w:lang w:val="en-US"/>
        </w:rPr>
        <w:t xml:space="preserve"> </w:t>
      </w:r>
      <w:hyperlink r:id="rId2" w:history="1">
        <w:r w:rsidRPr="0032383D">
          <w:rPr>
            <w:rStyle w:val="Hyperlink"/>
            <w:lang w:val="en-US"/>
          </w:rPr>
          <w:t>Peer review of the pesticide risk assessment for the triazole derivative metabolites in light of confirmatory data submitted - - 2018 - EFSA Journal - Wiley Online Library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B645" w14:textId="77777777" w:rsidR="0025453F" w:rsidRPr="0025453F" w:rsidRDefault="0025453F" w:rsidP="0025453F">
    <w:pPr>
      <w:pStyle w:val="Koptekst"/>
      <w:tabs>
        <w:tab w:val="clear" w:pos="4536"/>
        <w:tab w:val="clear" w:pos="9072"/>
      </w:tabs>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8523" w14:textId="77777777" w:rsidR="003F06FD" w:rsidRPr="006A3AAC" w:rsidRDefault="003F06FD" w:rsidP="006A3AAC">
    <w:pPr>
      <w:pStyle w:val="Koptekst"/>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F41603E"/>
    <w:multiLevelType w:val="multilevel"/>
    <w:tmpl w:val="85EE8C30"/>
    <w:lvl w:ilvl="0">
      <w:start w:val="1"/>
      <w:numFmt w:val="bullet"/>
      <w:pStyle w:val="Opsomming-lijst"/>
      <w:lvlText w:val="–"/>
      <w:lvlJc w:val="left"/>
      <w:pPr>
        <w:ind w:left="431" w:hanging="431"/>
      </w:pPr>
      <w:rPr>
        <w:rFonts w:ascii="Calibri" w:hAnsi="Calibri" w:hint="default"/>
        <w:b w:val="0"/>
        <w:i w:val="0"/>
        <w:color w:val="auto"/>
        <w:sz w:val="22"/>
        <w:szCs w:val="20"/>
      </w:rPr>
    </w:lvl>
    <w:lvl w:ilvl="1">
      <w:start w:val="1"/>
      <w:numFmt w:val="bullet"/>
      <w:lvlText w:val=""/>
      <w:lvlJc w:val="left"/>
      <w:pPr>
        <w:ind w:left="788" w:hanging="357"/>
      </w:pPr>
      <w:rPr>
        <w:rFonts w:ascii="Symbol" w:hAnsi="Symbol" w:hint="default"/>
        <w:color w:val="auto"/>
      </w:rPr>
    </w:lvl>
    <w:lvl w:ilvl="2">
      <w:start w:val="1"/>
      <w:numFmt w:val="bullet"/>
      <w:lvlText w:val=""/>
      <w:lvlJc w:val="left"/>
      <w:pPr>
        <w:ind w:left="1145" w:hanging="357"/>
      </w:pPr>
      <w:rPr>
        <w:rFonts w:ascii="Symbol" w:hAnsi="Symbol" w:hint="default"/>
      </w:rPr>
    </w:lvl>
    <w:lvl w:ilvl="3">
      <w:start w:val="1"/>
      <w:numFmt w:val="bullet"/>
      <w:lvlText w:val="–"/>
      <w:lvlJc w:val="left"/>
      <w:pPr>
        <w:ind w:left="1503" w:hanging="358"/>
      </w:pPr>
      <w:rPr>
        <w:rFonts w:ascii="Calibri" w:hAnsi="Calibri" w:hint="default"/>
        <w:color w:val="auto"/>
      </w:rPr>
    </w:lvl>
    <w:lvl w:ilvl="4">
      <w:start w:val="1"/>
      <w:numFmt w:val="bullet"/>
      <w:lvlText w:val=""/>
      <w:lvlJc w:val="left"/>
      <w:pPr>
        <w:ind w:left="1860" w:hanging="357"/>
      </w:pPr>
      <w:rPr>
        <w:rFonts w:ascii="Symbol" w:hAnsi="Symbol" w:hint="default"/>
      </w:rPr>
    </w:lvl>
    <w:lvl w:ilvl="5">
      <w:start w:val="1"/>
      <w:numFmt w:val="bullet"/>
      <w:lvlText w:val=""/>
      <w:lvlJc w:val="left"/>
      <w:pPr>
        <w:ind w:left="2217" w:hanging="357"/>
      </w:pPr>
      <w:rPr>
        <w:rFonts w:ascii="Symbol" w:hAnsi="Symbol" w:hint="default"/>
      </w:rPr>
    </w:lvl>
    <w:lvl w:ilvl="6">
      <w:start w:val="1"/>
      <w:numFmt w:val="bullet"/>
      <w:lvlText w:val="–"/>
      <w:lvlJc w:val="left"/>
      <w:pPr>
        <w:ind w:left="2574" w:hanging="357"/>
      </w:pPr>
      <w:rPr>
        <w:rFonts w:ascii="Calibri" w:hAnsi="Calibri" w:hint="default"/>
        <w:color w:val="auto"/>
      </w:rPr>
    </w:lvl>
    <w:lvl w:ilvl="7">
      <w:start w:val="1"/>
      <w:numFmt w:val="bullet"/>
      <w:lvlText w:val=""/>
      <w:lvlJc w:val="left"/>
      <w:pPr>
        <w:ind w:left="2931" w:hanging="357"/>
      </w:pPr>
      <w:rPr>
        <w:rFonts w:ascii="Symbol" w:hAnsi="Symbol" w:hint="default"/>
      </w:rPr>
    </w:lvl>
    <w:lvl w:ilvl="8">
      <w:start w:val="1"/>
      <w:numFmt w:val="bullet"/>
      <w:lvlText w:val=""/>
      <w:lvlJc w:val="left"/>
      <w:pPr>
        <w:ind w:left="3289" w:hanging="358"/>
      </w:pPr>
      <w:rPr>
        <w:rFonts w:ascii="Symbol" w:hAnsi="Symbol" w:hint="default"/>
      </w:rPr>
    </w:lvl>
  </w:abstractNum>
  <w:abstractNum w:abstractNumId="2"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 w15:restartNumberingAfterBreak="0">
    <w:nsid w:val="2F742F36"/>
    <w:multiLevelType w:val="multilevel"/>
    <w:tmpl w:val="D638C90A"/>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31B95072"/>
    <w:multiLevelType w:val="hybridMultilevel"/>
    <w:tmpl w:val="D19E3BD8"/>
    <w:lvl w:ilvl="0" w:tplc="46323A50">
      <w:start w:val="1"/>
      <w:numFmt w:val="bullet"/>
      <w:lvlText w:val="-"/>
      <w:lvlJc w:val="left"/>
      <w:pPr>
        <w:tabs>
          <w:tab w:val="num" w:pos="720"/>
        </w:tabs>
        <w:ind w:left="720" w:hanging="360"/>
      </w:pPr>
      <w:rPr>
        <w:rFonts w:ascii="Times New Roman" w:hAnsi="Times New Roman" w:hint="default"/>
      </w:rPr>
    </w:lvl>
    <w:lvl w:ilvl="1" w:tplc="5AF00FF6" w:tentative="1">
      <w:start w:val="1"/>
      <w:numFmt w:val="bullet"/>
      <w:lvlText w:val="-"/>
      <w:lvlJc w:val="left"/>
      <w:pPr>
        <w:tabs>
          <w:tab w:val="num" w:pos="1440"/>
        </w:tabs>
        <w:ind w:left="1440" w:hanging="360"/>
      </w:pPr>
      <w:rPr>
        <w:rFonts w:ascii="Times New Roman" w:hAnsi="Times New Roman" w:hint="default"/>
      </w:rPr>
    </w:lvl>
    <w:lvl w:ilvl="2" w:tplc="A69C2338" w:tentative="1">
      <w:start w:val="1"/>
      <w:numFmt w:val="bullet"/>
      <w:lvlText w:val="-"/>
      <w:lvlJc w:val="left"/>
      <w:pPr>
        <w:tabs>
          <w:tab w:val="num" w:pos="2160"/>
        </w:tabs>
        <w:ind w:left="2160" w:hanging="360"/>
      </w:pPr>
      <w:rPr>
        <w:rFonts w:ascii="Times New Roman" w:hAnsi="Times New Roman" w:hint="default"/>
      </w:rPr>
    </w:lvl>
    <w:lvl w:ilvl="3" w:tplc="74FE9526" w:tentative="1">
      <w:start w:val="1"/>
      <w:numFmt w:val="bullet"/>
      <w:lvlText w:val="-"/>
      <w:lvlJc w:val="left"/>
      <w:pPr>
        <w:tabs>
          <w:tab w:val="num" w:pos="2880"/>
        </w:tabs>
        <w:ind w:left="2880" w:hanging="360"/>
      </w:pPr>
      <w:rPr>
        <w:rFonts w:ascii="Times New Roman" w:hAnsi="Times New Roman" w:hint="default"/>
      </w:rPr>
    </w:lvl>
    <w:lvl w:ilvl="4" w:tplc="5EF8E45A" w:tentative="1">
      <w:start w:val="1"/>
      <w:numFmt w:val="bullet"/>
      <w:lvlText w:val="-"/>
      <w:lvlJc w:val="left"/>
      <w:pPr>
        <w:tabs>
          <w:tab w:val="num" w:pos="3600"/>
        </w:tabs>
        <w:ind w:left="3600" w:hanging="360"/>
      </w:pPr>
      <w:rPr>
        <w:rFonts w:ascii="Times New Roman" w:hAnsi="Times New Roman" w:hint="default"/>
      </w:rPr>
    </w:lvl>
    <w:lvl w:ilvl="5" w:tplc="F4841AD0" w:tentative="1">
      <w:start w:val="1"/>
      <w:numFmt w:val="bullet"/>
      <w:lvlText w:val="-"/>
      <w:lvlJc w:val="left"/>
      <w:pPr>
        <w:tabs>
          <w:tab w:val="num" w:pos="4320"/>
        </w:tabs>
        <w:ind w:left="4320" w:hanging="360"/>
      </w:pPr>
      <w:rPr>
        <w:rFonts w:ascii="Times New Roman" w:hAnsi="Times New Roman" w:hint="default"/>
      </w:rPr>
    </w:lvl>
    <w:lvl w:ilvl="6" w:tplc="E84070AC" w:tentative="1">
      <w:start w:val="1"/>
      <w:numFmt w:val="bullet"/>
      <w:lvlText w:val="-"/>
      <w:lvlJc w:val="left"/>
      <w:pPr>
        <w:tabs>
          <w:tab w:val="num" w:pos="5040"/>
        </w:tabs>
        <w:ind w:left="5040" w:hanging="360"/>
      </w:pPr>
      <w:rPr>
        <w:rFonts w:ascii="Times New Roman" w:hAnsi="Times New Roman" w:hint="default"/>
      </w:rPr>
    </w:lvl>
    <w:lvl w:ilvl="7" w:tplc="EACAC4C4" w:tentative="1">
      <w:start w:val="1"/>
      <w:numFmt w:val="bullet"/>
      <w:lvlText w:val="-"/>
      <w:lvlJc w:val="left"/>
      <w:pPr>
        <w:tabs>
          <w:tab w:val="num" w:pos="5760"/>
        </w:tabs>
        <w:ind w:left="5760" w:hanging="360"/>
      </w:pPr>
      <w:rPr>
        <w:rFonts w:ascii="Times New Roman" w:hAnsi="Times New Roman" w:hint="default"/>
      </w:rPr>
    </w:lvl>
    <w:lvl w:ilvl="8" w:tplc="46B4BE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24D74CF"/>
    <w:multiLevelType w:val="hybridMultilevel"/>
    <w:tmpl w:val="DB641A7C"/>
    <w:lvl w:ilvl="0" w:tplc="E82C9648">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3D7146E5"/>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7" w15:restartNumberingAfterBreak="0">
    <w:nsid w:val="418D71DF"/>
    <w:multiLevelType w:val="hybridMultilevel"/>
    <w:tmpl w:val="F77E1F30"/>
    <w:lvl w:ilvl="0" w:tplc="D2A6A88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F3909C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4A11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9039C3"/>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num w:numId="1" w16cid:durableId="285936799">
    <w:abstractNumId w:val="0"/>
  </w:num>
  <w:num w:numId="2" w16cid:durableId="1409115082">
    <w:abstractNumId w:val="10"/>
  </w:num>
  <w:num w:numId="3" w16cid:durableId="1883519392">
    <w:abstractNumId w:val="9"/>
  </w:num>
  <w:num w:numId="4" w16cid:durableId="1597203189">
    <w:abstractNumId w:val="6"/>
  </w:num>
  <w:num w:numId="5" w16cid:durableId="24674007">
    <w:abstractNumId w:val="2"/>
  </w:num>
  <w:num w:numId="6" w16cid:durableId="1763405148">
    <w:abstractNumId w:val="8"/>
  </w:num>
  <w:num w:numId="7" w16cid:durableId="110823085">
    <w:abstractNumId w:val="3"/>
  </w:num>
  <w:num w:numId="8" w16cid:durableId="513882839">
    <w:abstractNumId w:val="1"/>
  </w:num>
  <w:num w:numId="9" w16cid:durableId="1850215006">
    <w:abstractNumId w:val="1"/>
  </w:num>
  <w:num w:numId="10" w16cid:durableId="1347905257">
    <w:abstractNumId w:val="1"/>
  </w:num>
  <w:num w:numId="11" w16cid:durableId="213856831">
    <w:abstractNumId w:val="7"/>
  </w:num>
  <w:num w:numId="12" w16cid:durableId="476921328">
    <w:abstractNumId w:val="4"/>
  </w:num>
  <w:num w:numId="13" w16cid:durableId="2088574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BA"/>
    <w:rsid w:val="00000625"/>
    <w:rsid w:val="00013802"/>
    <w:rsid w:val="00041DA0"/>
    <w:rsid w:val="00054D5D"/>
    <w:rsid w:val="00062EE4"/>
    <w:rsid w:val="0007291D"/>
    <w:rsid w:val="000734AB"/>
    <w:rsid w:val="00084C9C"/>
    <w:rsid w:val="000901B8"/>
    <w:rsid w:val="000A7B51"/>
    <w:rsid w:val="000C59C7"/>
    <w:rsid w:val="000E4289"/>
    <w:rsid w:val="000F3A08"/>
    <w:rsid w:val="0010136A"/>
    <w:rsid w:val="00124211"/>
    <w:rsid w:val="00140795"/>
    <w:rsid w:val="00141A5B"/>
    <w:rsid w:val="00146E62"/>
    <w:rsid w:val="001543DE"/>
    <w:rsid w:val="001578D7"/>
    <w:rsid w:val="001A0E78"/>
    <w:rsid w:val="001B2572"/>
    <w:rsid w:val="001B77E8"/>
    <w:rsid w:val="002320F4"/>
    <w:rsid w:val="00241E10"/>
    <w:rsid w:val="002436AA"/>
    <w:rsid w:val="0025453F"/>
    <w:rsid w:val="002637B3"/>
    <w:rsid w:val="00265934"/>
    <w:rsid w:val="00275297"/>
    <w:rsid w:val="0028543A"/>
    <w:rsid w:val="002A0459"/>
    <w:rsid w:val="002B27BD"/>
    <w:rsid w:val="002B69F7"/>
    <w:rsid w:val="002E7E3C"/>
    <w:rsid w:val="002F7059"/>
    <w:rsid w:val="002F7964"/>
    <w:rsid w:val="002F7DAF"/>
    <w:rsid w:val="0031701C"/>
    <w:rsid w:val="0032383D"/>
    <w:rsid w:val="00331E2E"/>
    <w:rsid w:val="0033485D"/>
    <w:rsid w:val="00354AE8"/>
    <w:rsid w:val="00355052"/>
    <w:rsid w:val="00386667"/>
    <w:rsid w:val="003A74DA"/>
    <w:rsid w:val="003D6944"/>
    <w:rsid w:val="003E0722"/>
    <w:rsid w:val="003E3266"/>
    <w:rsid w:val="003F06FD"/>
    <w:rsid w:val="00415688"/>
    <w:rsid w:val="004508EB"/>
    <w:rsid w:val="00467C07"/>
    <w:rsid w:val="0049087A"/>
    <w:rsid w:val="004946FB"/>
    <w:rsid w:val="004E662C"/>
    <w:rsid w:val="00501ADE"/>
    <w:rsid w:val="005255EA"/>
    <w:rsid w:val="00534D6B"/>
    <w:rsid w:val="00553F91"/>
    <w:rsid w:val="005716B1"/>
    <w:rsid w:val="005C281C"/>
    <w:rsid w:val="005D3B08"/>
    <w:rsid w:val="006128E2"/>
    <w:rsid w:val="006328BA"/>
    <w:rsid w:val="006412AB"/>
    <w:rsid w:val="00641DE5"/>
    <w:rsid w:val="006435E0"/>
    <w:rsid w:val="00680526"/>
    <w:rsid w:val="00680837"/>
    <w:rsid w:val="00684FC6"/>
    <w:rsid w:val="006A3797"/>
    <w:rsid w:val="006A3AAC"/>
    <w:rsid w:val="006A7E38"/>
    <w:rsid w:val="006C17BC"/>
    <w:rsid w:val="006E185A"/>
    <w:rsid w:val="006E5966"/>
    <w:rsid w:val="006F2E15"/>
    <w:rsid w:val="006F7624"/>
    <w:rsid w:val="00732742"/>
    <w:rsid w:val="00742F29"/>
    <w:rsid w:val="00754CAB"/>
    <w:rsid w:val="00764855"/>
    <w:rsid w:val="007709A9"/>
    <w:rsid w:val="007A1F20"/>
    <w:rsid w:val="007C7AC6"/>
    <w:rsid w:val="007E74F5"/>
    <w:rsid w:val="008118DD"/>
    <w:rsid w:val="00834743"/>
    <w:rsid w:val="00843B2B"/>
    <w:rsid w:val="00846903"/>
    <w:rsid w:val="00846CD9"/>
    <w:rsid w:val="008508B9"/>
    <w:rsid w:val="0085146C"/>
    <w:rsid w:val="00871A5F"/>
    <w:rsid w:val="008865C4"/>
    <w:rsid w:val="00894531"/>
    <w:rsid w:val="008C36C3"/>
    <w:rsid w:val="008E0C8D"/>
    <w:rsid w:val="008F6EA8"/>
    <w:rsid w:val="0092742F"/>
    <w:rsid w:val="00944283"/>
    <w:rsid w:val="009468C8"/>
    <w:rsid w:val="009619C1"/>
    <w:rsid w:val="00976A5B"/>
    <w:rsid w:val="00981E17"/>
    <w:rsid w:val="009843B4"/>
    <w:rsid w:val="009B25BB"/>
    <w:rsid w:val="009B2F11"/>
    <w:rsid w:val="009D3AC4"/>
    <w:rsid w:val="00A0326A"/>
    <w:rsid w:val="00A20674"/>
    <w:rsid w:val="00A21CAC"/>
    <w:rsid w:val="00A44990"/>
    <w:rsid w:val="00A71C3E"/>
    <w:rsid w:val="00A83BA8"/>
    <w:rsid w:val="00A9227E"/>
    <w:rsid w:val="00AB591E"/>
    <w:rsid w:val="00AC7282"/>
    <w:rsid w:val="00AD6CD8"/>
    <w:rsid w:val="00B2163D"/>
    <w:rsid w:val="00B22E07"/>
    <w:rsid w:val="00B3350A"/>
    <w:rsid w:val="00B406A1"/>
    <w:rsid w:val="00B42F1A"/>
    <w:rsid w:val="00B63B26"/>
    <w:rsid w:val="00B67EB4"/>
    <w:rsid w:val="00B735C5"/>
    <w:rsid w:val="00B73725"/>
    <w:rsid w:val="00B7474B"/>
    <w:rsid w:val="00B74B7C"/>
    <w:rsid w:val="00BA0A03"/>
    <w:rsid w:val="00BA192E"/>
    <w:rsid w:val="00BE2444"/>
    <w:rsid w:val="00BF0A8D"/>
    <w:rsid w:val="00C07E2F"/>
    <w:rsid w:val="00C15DE8"/>
    <w:rsid w:val="00C45219"/>
    <w:rsid w:val="00C52F55"/>
    <w:rsid w:val="00C655B0"/>
    <w:rsid w:val="00C7010B"/>
    <w:rsid w:val="00C7652B"/>
    <w:rsid w:val="00CB2598"/>
    <w:rsid w:val="00CD3CDF"/>
    <w:rsid w:val="00CD4572"/>
    <w:rsid w:val="00CD5CD2"/>
    <w:rsid w:val="00CE143B"/>
    <w:rsid w:val="00CF71DA"/>
    <w:rsid w:val="00D061DF"/>
    <w:rsid w:val="00D129E5"/>
    <w:rsid w:val="00D13012"/>
    <w:rsid w:val="00D25AA9"/>
    <w:rsid w:val="00D53B83"/>
    <w:rsid w:val="00D6667C"/>
    <w:rsid w:val="00D83EAF"/>
    <w:rsid w:val="00D83F91"/>
    <w:rsid w:val="00D94492"/>
    <w:rsid w:val="00DA1C59"/>
    <w:rsid w:val="00DC61D8"/>
    <w:rsid w:val="00DE04EB"/>
    <w:rsid w:val="00DE1B04"/>
    <w:rsid w:val="00DF4188"/>
    <w:rsid w:val="00E041C6"/>
    <w:rsid w:val="00E16113"/>
    <w:rsid w:val="00E3742B"/>
    <w:rsid w:val="00E70126"/>
    <w:rsid w:val="00E806E8"/>
    <w:rsid w:val="00E93980"/>
    <w:rsid w:val="00E9540F"/>
    <w:rsid w:val="00EC26EC"/>
    <w:rsid w:val="00ED00D1"/>
    <w:rsid w:val="00ED6A53"/>
    <w:rsid w:val="00EE1AEC"/>
    <w:rsid w:val="00F10F89"/>
    <w:rsid w:val="00F15A94"/>
    <w:rsid w:val="00F34709"/>
    <w:rsid w:val="00F47807"/>
    <w:rsid w:val="00F55808"/>
    <w:rsid w:val="00FB4D66"/>
    <w:rsid w:val="00FC3BD8"/>
    <w:rsid w:val="00FD1922"/>
    <w:rsid w:val="00FE26A6"/>
    <w:rsid w:val="07101DE4"/>
    <w:rsid w:val="07C4AAEB"/>
    <w:rsid w:val="0CC9F910"/>
    <w:rsid w:val="0DDA82E4"/>
    <w:rsid w:val="114436BC"/>
    <w:rsid w:val="16478805"/>
    <w:rsid w:val="16A94A38"/>
    <w:rsid w:val="17131AAA"/>
    <w:rsid w:val="174202E0"/>
    <w:rsid w:val="17A4447D"/>
    <w:rsid w:val="19E88DC6"/>
    <w:rsid w:val="1BA00217"/>
    <w:rsid w:val="1C9EF189"/>
    <w:rsid w:val="1CDC2992"/>
    <w:rsid w:val="20F85987"/>
    <w:rsid w:val="22642BBA"/>
    <w:rsid w:val="23628DB8"/>
    <w:rsid w:val="24E9A49E"/>
    <w:rsid w:val="29BC4528"/>
    <w:rsid w:val="2FCED3EB"/>
    <w:rsid w:val="30ACBF25"/>
    <w:rsid w:val="381178B9"/>
    <w:rsid w:val="3E190EE9"/>
    <w:rsid w:val="41F4F7B3"/>
    <w:rsid w:val="47E45BE1"/>
    <w:rsid w:val="4F7A46EC"/>
    <w:rsid w:val="50A40DCA"/>
    <w:rsid w:val="54E5050F"/>
    <w:rsid w:val="5A0C3F54"/>
    <w:rsid w:val="5B508157"/>
    <w:rsid w:val="5D6D5D29"/>
    <w:rsid w:val="5F8D43C2"/>
    <w:rsid w:val="60C7DE10"/>
    <w:rsid w:val="61841A1A"/>
    <w:rsid w:val="684B6CD8"/>
    <w:rsid w:val="693AC96A"/>
    <w:rsid w:val="6A903501"/>
    <w:rsid w:val="6BBC979F"/>
    <w:rsid w:val="6D1591A6"/>
    <w:rsid w:val="70CF1612"/>
    <w:rsid w:val="7163E894"/>
    <w:rsid w:val="74379106"/>
    <w:rsid w:val="75DD4F51"/>
    <w:rsid w:val="7837F0EE"/>
    <w:rsid w:val="7FCC605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84ED"/>
  <w15:docId w15:val="{602FAB4C-0955-4AE2-BC72-CFF902B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3B08"/>
    <w:pPr>
      <w:spacing w:after="0" w:line="260" w:lineRule="atLeast"/>
    </w:pPr>
    <w:rPr>
      <w:rFonts w:ascii="Calibri" w:hAnsi="Calibri"/>
    </w:rPr>
  </w:style>
  <w:style w:type="paragraph" w:styleId="Kop1">
    <w:name w:val="heading 1"/>
    <w:basedOn w:val="Standaard"/>
    <w:next w:val="Standaard"/>
    <w:link w:val="Kop1Char"/>
    <w:uiPriority w:val="9"/>
    <w:qFormat/>
    <w:rsid w:val="00331E2E"/>
    <w:pPr>
      <w:keepNext/>
      <w:keepLines/>
      <w:numPr>
        <w:numId w:val="7"/>
      </w:numPr>
      <w:spacing w:before="300" w:after="200"/>
      <w:outlineLvl w:val="0"/>
    </w:pPr>
    <w:rPr>
      <w:rFonts w:asciiTheme="minorHAnsi" w:eastAsiaTheme="majorEastAsia" w:hAnsiTheme="minorHAnsi" w:cstheme="majorBidi"/>
      <w:b/>
      <w:bCs/>
      <w:caps/>
      <w:color w:val="3C3D3C"/>
      <w:sz w:val="36"/>
      <w:szCs w:val="28"/>
    </w:rPr>
  </w:style>
  <w:style w:type="paragraph" w:styleId="Kop2">
    <w:name w:val="heading 2"/>
    <w:basedOn w:val="Standaard"/>
    <w:next w:val="Standaard"/>
    <w:link w:val="Kop2Char"/>
    <w:uiPriority w:val="9"/>
    <w:unhideWhenUsed/>
    <w:qFormat/>
    <w:rsid w:val="009D3AC4"/>
    <w:pPr>
      <w:keepNext/>
      <w:keepLines/>
      <w:numPr>
        <w:ilvl w:val="1"/>
        <w:numId w:val="7"/>
      </w:numPr>
      <w:spacing w:before="200" w:after="100"/>
      <w:outlineLvl w:val="1"/>
    </w:pPr>
    <w:rPr>
      <w:rFonts w:asciiTheme="minorHAnsi" w:eastAsiaTheme="majorEastAsia" w:hAnsiTheme="minorHAnsi" w:cstheme="majorBidi"/>
      <w:bCs/>
      <w:caps/>
      <w:sz w:val="32"/>
      <w:szCs w:val="26"/>
      <w:u w:val="dotted"/>
    </w:rPr>
  </w:style>
  <w:style w:type="paragraph" w:styleId="Kop3">
    <w:name w:val="heading 3"/>
    <w:basedOn w:val="Standaard"/>
    <w:next w:val="Standaard"/>
    <w:link w:val="Kop3Char"/>
    <w:uiPriority w:val="9"/>
    <w:unhideWhenUsed/>
    <w:qFormat/>
    <w:rsid w:val="00146E62"/>
    <w:pPr>
      <w:keepNext/>
      <w:keepLines/>
      <w:numPr>
        <w:ilvl w:val="2"/>
        <w:numId w:val="7"/>
      </w:numPr>
      <w:spacing w:before="200" w:after="100"/>
      <w:outlineLvl w:val="2"/>
    </w:pPr>
    <w:rPr>
      <w:rFonts w:asciiTheme="minorHAnsi" w:eastAsiaTheme="majorEastAsia" w:hAnsiTheme="minorHAnsi" w:cstheme="majorBidi"/>
      <w:b/>
      <w:bCs/>
      <w:color w:val="969696"/>
      <w:sz w:val="24"/>
    </w:rPr>
  </w:style>
  <w:style w:type="paragraph" w:styleId="Kop4">
    <w:name w:val="heading 4"/>
    <w:basedOn w:val="Standaard"/>
    <w:next w:val="Standaard"/>
    <w:link w:val="Kop4Char"/>
    <w:uiPriority w:val="9"/>
    <w:unhideWhenUsed/>
    <w:qFormat/>
    <w:rsid w:val="00146E62"/>
    <w:pPr>
      <w:keepNext/>
      <w:keepLines/>
      <w:numPr>
        <w:ilvl w:val="3"/>
        <w:numId w:val="7"/>
      </w:numPr>
      <w:spacing w:before="200" w:after="100"/>
      <w:outlineLvl w:val="3"/>
    </w:pPr>
    <w:rPr>
      <w:rFonts w:asciiTheme="minorHAnsi" w:eastAsiaTheme="majorEastAsia" w:hAnsiTheme="minorHAnsi" w:cstheme="majorBidi"/>
      <w:bCs/>
      <w:iCs/>
      <w:color w:val="373636" w:themeColor="text1"/>
      <w:u w:val="single"/>
    </w:rPr>
  </w:style>
  <w:style w:type="paragraph" w:styleId="Kop5">
    <w:name w:val="heading 5"/>
    <w:basedOn w:val="Standaard"/>
    <w:next w:val="Standaard"/>
    <w:link w:val="Kop5Char"/>
    <w:uiPriority w:val="9"/>
    <w:unhideWhenUsed/>
    <w:qFormat/>
    <w:rsid w:val="00E9540F"/>
    <w:pPr>
      <w:keepNext/>
      <w:keepLines/>
      <w:numPr>
        <w:ilvl w:val="4"/>
        <w:numId w:val="7"/>
      </w:numPr>
      <w:spacing w:before="200" w:after="100"/>
      <w:outlineLvl w:val="4"/>
    </w:pPr>
    <w:rPr>
      <w:rFonts w:asciiTheme="minorHAnsi" w:eastAsiaTheme="majorEastAsia" w:hAnsiTheme="minorHAnsi" w:cstheme="majorBidi"/>
      <w:color w:val="3C3D3C"/>
    </w:rPr>
  </w:style>
  <w:style w:type="paragraph" w:styleId="Kop6">
    <w:name w:val="heading 6"/>
    <w:basedOn w:val="Standaard"/>
    <w:next w:val="Standaard"/>
    <w:link w:val="Kop6Char"/>
    <w:uiPriority w:val="9"/>
    <w:semiHidden/>
    <w:unhideWhenUsed/>
    <w:qFormat/>
    <w:rsid w:val="00E9540F"/>
    <w:pPr>
      <w:keepNext/>
      <w:keepLines/>
      <w:numPr>
        <w:ilvl w:val="5"/>
        <w:numId w:val="7"/>
      </w:numPr>
      <w:spacing w:before="200" w:after="100"/>
      <w:outlineLvl w:val="5"/>
    </w:pPr>
    <w:rPr>
      <w:rFonts w:asciiTheme="minorHAnsi" w:eastAsiaTheme="majorEastAsia" w:hAnsiTheme="minorHAnsi" w:cstheme="majorBidi"/>
      <w:iCs/>
      <w:color w:val="6F7173"/>
    </w:rPr>
  </w:style>
  <w:style w:type="paragraph" w:styleId="Kop7">
    <w:name w:val="heading 7"/>
    <w:basedOn w:val="Standaard"/>
    <w:next w:val="Standaard"/>
    <w:link w:val="Kop7Char"/>
    <w:uiPriority w:val="9"/>
    <w:semiHidden/>
    <w:unhideWhenUsed/>
    <w:qFormat/>
    <w:rsid w:val="00331E2E"/>
    <w:pPr>
      <w:keepNext/>
      <w:keepLines/>
      <w:numPr>
        <w:ilvl w:val="6"/>
        <w:numId w:val="7"/>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semiHidden/>
    <w:unhideWhenUsed/>
    <w:qFormat/>
    <w:rsid w:val="00331E2E"/>
    <w:pPr>
      <w:keepNext/>
      <w:keepLines/>
      <w:numPr>
        <w:ilvl w:val="7"/>
        <w:numId w:val="7"/>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semiHidden/>
    <w:unhideWhenUsed/>
    <w:qFormat/>
    <w:rsid w:val="00331E2E"/>
    <w:pPr>
      <w:keepNext/>
      <w:keepLines/>
      <w:numPr>
        <w:ilvl w:val="8"/>
        <w:numId w:val="7"/>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1E2E"/>
    <w:rPr>
      <w:rFonts w:eastAsiaTheme="majorEastAsia" w:cstheme="majorBidi"/>
      <w:b/>
      <w:bCs/>
      <w:caps/>
      <w:color w:val="3C3D3C"/>
      <w:sz w:val="36"/>
      <w:szCs w:val="28"/>
    </w:rPr>
  </w:style>
  <w:style w:type="paragraph" w:styleId="Lijstalinea">
    <w:name w:val="List Paragraph"/>
    <w:basedOn w:val="Standaard"/>
    <w:uiPriority w:val="34"/>
    <w:qFormat/>
    <w:rsid w:val="00331E2E"/>
    <w:pPr>
      <w:spacing w:after="200"/>
      <w:ind w:left="720"/>
      <w:contextualSpacing/>
    </w:pPr>
    <w:rPr>
      <w:rFonts w:asciiTheme="minorHAnsi" w:hAnsiTheme="minorHAnsi"/>
    </w:rPr>
  </w:style>
  <w:style w:type="character" w:customStyle="1" w:styleId="Kop2Char">
    <w:name w:val="Kop 2 Char"/>
    <w:basedOn w:val="Standaardalinea-lettertype"/>
    <w:link w:val="Kop2"/>
    <w:uiPriority w:val="9"/>
    <w:rsid w:val="009D3AC4"/>
    <w:rPr>
      <w:rFonts w:eastAsiaTheme="majorEastAsia" w:cstheme="majorBidi"/>
      <w:bCs/>
      <w:caps/>
      <w:sz w:val="32"/>
      <w:szCs w:val="26"/>
      <w:u w:val="dotted"/>
    </w:rPr>
  </w:style>
  <w:style w:type="character" w:customStyle="1" w:styleId="Kop3Char">
    <w:name w:val="Kop 3 Char"/>
    <w:basedOn w:val="Standaardalinea-lettertype"/>
    <w:link w:val="Kop3"/>
    <w:uiPriority w:val="9"/>
    <w:rsid w:val="00146E62"/>
    <w:rPr>
      <w:rFonts w:eastAsiaTheme="majorEastAsia" w:cstheme="majorBidi"/>
      <w:b/>
      <w:bCs/>
      <w:color w:val="969696"/>
      <w:sz w:val="24"/>
    </w:rPr>
  </w:style>
  <w:style w:type="character" w:customStyle="1" w:styleId="Kop4Char">
    <w:name w:val="Kop 4 Char"/>
    <w:basedOn w:val="Standaardalinea-lettertype"/>
    <w:link w:val="Kop4"/>
    <w:uiPriority w:val="9"/>
    <w:rsid w:val="00146E62"/>
    <w:rPr>
      <w:rFonts w:eastAsiaTheme="majorEastAsia"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semiHidden/>
    <w:rsid w:val="00E9540F"/>
    <w:rPr>
      <w:rFonts w:eastAsiaTheme="majorEastAsia" w:cstheme="majorBidi"/>
      <w:iCs/>
      <w:color w:val="6F7173"/>
    </w:rPr>
  </w:style>
  <w:style w:type="character" w:customStyle="1" w:styleId="Kop7Char">
    <w:name w:val="Kop 7 Char"/>
    <w:basedOn w:val="Standaardalinea-lettertype"/>
    <w:link w:val="Kop7"/>
    <w:uiPriority w:val="9"/>
    <w:semiHidden/>
    <w:rsid w:val="00331E2E"/>
    <w:rPr>
      <w:rFonts w:asciiTheme="majorHAnsi" w:eastAsiaTheme="majorEastAsia" w:hAnsiTheme="majorHAnsi" w:cstheme="majorBidi"/>
      <w:i/>
      <w:iCs/>
      <w:color w:val="696767" w:themeColor="text1" w:themeTint="BF"/>
    </w:rPr>
  </w:style>
  <w:style w:type="character" w:customStyle="1" w:styleId="Kop8Char">
    <w:name w:val="Kop 8 Char"/>
    <w:basedOn w:val="Standaardalinea-lettertype"/>
    <w:link w:val="Kop8"/>
    <w:uiPriority w:val="9"/>
    <w:semiHidden/>
    <w:rsid w:val="00331E2E"/>
    <w:rPr>
      <w:rFonts w:asciiTheme="majorHAnsi" w:eastAsiaTheme="majorEastAsia" w:hAnsiTheme="majorHAnsi" w:cstheme="majorBidi"/>
      <w:color w:val="696767" w:themeColor="text1" w:themeTint="BF"/>
      <w:sz w:val="20"/>
      <w:szCs w:val="20"/>
    </w:rPr>
  </w:style>
  <w:style w:type="character" w:customStyle="1" w:styleId="Kop9Char">
    <w:name w:val="Kop 9 Char"/>
    <w:basedOn w:val="Standaardalinea-lettertype"/>
    <w:link w:val="Kop9"/>
    <w:uiPriority w:val="9"/>
    <w:semiHidden/>
    <w:rsid w:val="00331E2E"/>
    <w:rPr>
      <w:rFonts w:asciiTheme="majorHAnsi" w:eastAsiaTheme="majorEastAsia" w:hAnsiTheme="majorHAnsi" w:cstheme="majorBidi"/>
      <w:i/>
      <w:iCs/>
      <w:color w:val="696767" w:themeColor="text1" w:themeTint="BF"/>
      <w:sz w:val="20"/>
      <w:szCs w:val="20"/>
    </w:rPr>
  </w:style>
  <w:style w:type="character" w:styleId="Zwaar">
    <w:name w:val="Strong"/>
    <w:basedOn w:val="Standaardalinea-lettertype"/>
    <w:uiPriority w:val="22"/>
    <w:qFormat/>
    <w:rsid w:val="000734AB"/>
    <w:rPr>
      <w:b/>
      <w:bCs/>
    </w:rPr>
  </w:style>
  <w:style w:type="paragraph" w:styleId="Titel">
    <w:name w:val="Title"/>
    <w:basedOn w:val="Standaard"/>
    <w:next w:val="Standaard"/>
    <w:link w:val="TitelChar"/>
    <w:uiPriority w:val="10"/>
    <w:qFormat/>
    <w:rsid w:val="000734A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34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34AB"/>
    <w:pPr>
      <w:numPr>
        <w:ilvl w:val="1"/>
      </w:numPr>
      <w:spacing w:after="160" w:line="270" w:lineRule="exact"/>
    </w:pPr>
    <w:rPr>
      <w:rFonts w:asciiTheme="minorHAnsi" w:eastAsiaTheme="minorEastAsia" w:hAnsiTheme="minorHAnsi"/>
      <w:color w:val="7E7C7C" w:themeColor="text1" w:themeTint="A5"/>
      <w:spacing w:val="15"/>
    </w:rPr>
  </w:style>
  <w:style w:type="character" w:customStyle="1" w:styleId="OndertitelChar">
    <w:name w:val="Ondertitel Char"/>
    <w:basedOn w:val="Standaardalinea-lettertype"/>
    <w:link w:val="Ondertitel"/>
    <w:uiPriority w:val="11"/>
    <w:rsid w:val="000734AB"/>
    <w:rPr>
      <w:rFonts w:eastAsiaTheme="minorEastAsia"/>
      <w:color w:val="7E7C7C" w:themeColor="text1" w:themeTint="A5"/>
      <w:spacing w:val="15"/>
    </w:rPr>
  </w:style>
  <w:style w:type="character" w:styleId="Subtielebenadrukking">
    <w:name w:val="Subtle Emphasis"/>
    <w:basedOn w:val="Standaardalinea-lettertype"/>
    <w:uiPriority w:val="19"/>
    <w:qFormat/>
    <w:rsid w:val="000734AB"/>
    <w:rPr>
      <w:i/>
      <w:iCs/>
      <w:color w:val="696767" w:themeColor="text1" w:themeTint="BF"/>
    </w:rPr>
  </w:style>
  <w:style w:type="paragraph" w:styleId="Duidelijkcitaat">
    <w:name w:val="Intense Quote"/>
    <w:basedOn w:val="Standaard"/>
    <w:next w:val="Standaard"/>
    <w:link w:val="DuidelijkcitaatChar"/>
    <w:uiPriority w:val="30"/>
    <w:qFormat/>
    <w:rsid w:val="006C17BC"/>
    <w:pPr>
      <w:pBdr>
        <w:top w:val="single" w:sz="4" w:space="10" w:color="0F4C81"/>
        <w:bottom w:val="single" w:sz="4" w:space="10" w:color="0F4C81"/>
      </w:pBdr>
      <w:spacing w:before="360" w:after="360" w:line="270" w:lineRule="exact"/>
      <w:ind w:left="864" w:right="864"/>
    </w:pPr>
    <w:rPr>
      <w:rFonts w:asciiTheme="minorHAnsi" w:hAnsiTheme="minorHAnsi"/>
      <w:i/>
      <w:iCs/>
      <w:color w:val="0F4C81"/>
    </w:rPr>
  </w:style>
  <w:style w:type="character" w:customStyle="1" w:styleId="DuidelijkcitaatChar">
    <w:name w:val="Duidelijk citaat Char"/>
    <w:basedOn w:val="Standaardalinea-lettertype"/>
    <w:link w:val="Duidelijkcitaat"/>
    <w:uiPriority w:val="30"/>
    <w:rsid w:val="006C17BC"/>
    <w:rPr>
      <w:i/>
      <w:iCs/>
      <w:color w:val="0F4C81"/>
    </w:rPr>
  </w:style>
  <w:style w:type="character" w:styleId="Subtieleverwijzing">
    <w:name w:val="Subtle Reference"/>
    <w:basedOn w:val="Standaardalinea-lettertype"/>
    <w:uiPriority w:val="31"/>
    <w:qFormat/>
    <w:rsid w:val="00E806E8"/>
    <w:rPr>
      <w:smallCaps/>
      <w:color w:val="0F4C81"/>
    </w:rPr>
  </w:style>
  <w:style w:type="character" w:styleId="Intensieveverwijzing">
    <w:name w:val="Intense Reference"/>
    <w:basedOn w:val="Standaardalinea-lettertype"/>
    <w:uiPriority w:val="32"/>
    <w:qFormat/>
    <w:rsid w:val="000734AB"/>
    <w:rPr>
      <w:b/>
      <w:bCs/>
      <w:smallCaps/>
      <w:color w:val="0F4C81" w:themeColor="accent1"/>
      <w:spacing w:val="5"/>
    </w:rPr>
  </w:style>
  <w:style w:type="table" w:styleId="Tabelraster">
    <w:name w:val="Table Grid"/>
    <w:basedOn w:val="Standaardtabel"/>
    <w:uiPriority w:val="5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D6944"/>
    <w:rPr>
      <w:color w:val="808080"/>
    </w:rPr>
  </w:style>
  <w:style w:type="character" w:styleId="Titelvanboek">
    <w:name w:val="Book Title"/>
    <w:uiPriority w:val="33"/>
    <w:rsid w:val="003D6944"/>
    <w:rPr>
      <w:rFonts w:ascii="Calibri" w:hAnsi="Calibri"/>
      <w:b/>
      <w:color w:val="auto"/>
      <w:sz w:val="24"/>
      <w:szCs w:val="24"/>
    </w:rPr>
  </w:style>
  <w:style w:type="paragraph" w:styleId="Koptekst">
    <w:name w:val="header"/>
    <w:basedOn w:val="Standaard"/>
    <w:link w:val="KoptekstChar"/>
    <w:unhideWhenUsed/>
    <w:rsid w:val="003D6944"/>
    <w:pPr>
      <w:tabs>
        <w:tab w:val="center" w:pos="4536"/>
        <w:tab w:val="right" w:pos="9072"/>
      </w:tabs>
      <w:spacing w:line="240" w:lineRule="auto"/>
    </w:pPr>
  </w:style>
  <w:style w:type="character" w:customStyle="1" w:styleId="KoptekstChar">
    <w:name w:val="Koptekst Char"/>
    <w:basedOn w:val="Standaardalinea-lettertype"/>
    <w:link w:val="Koptekst"/>
    <w:rsid w:val="003D6944"/>
    <w:rPr>
      <w:rFonts w:ascii="Calibri" w:hAnsi="Calibri"/>
    </w:rPr>
  </w:style>
  <w:style w:type="character" w:styleId="Paginanummer">
    <w:name w:val="page number"/>
    <w:basedOn w:val="Standaardalinea-lettertype"/>
    <w:rsid w:val="003D6944"/>
  </w:style>
  <w:style w:type="character" w:customStyle="1" w:styleId="Opmaakprofiel3">
    <w:name w:val="Opmaakprofiel3"/>
    <w:basedOn w:val="Standaardalinea-lettertype"/>
    <w:uiPriority w:val="1"/>
    <w:rsid w:val="003D6944"/>
    <w:rPr>
      <w:rFonts w:ascii="Arial" w:hAnsi="Arial"/>
      <w:sz w:val="22"/>
    </w:rPr>
  </w:style>
  <w:style w:type="paragraph" w:styleId="Ballontekst">
    <w:name w:val="Balloon Text"/>
    <w:basedOn w:val="Standaard"/>
    <w:link w:val="BallontekstChar"/>
    <w:uiPriority w:val="99"/>
    <w:semiHidden/>
    <w:unhideWhenUsed/>
    <w:rsid w:val="003D694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944"/>
    <w:rPr>
      <w:rFonts w:ascii="Tahoma" w:hAnsi="Tahoma" w:cs="Tahoma"/>
      <w:sz w:val="16"/>
      <w:szCs w:val="16"/>
    </w:rPr>
  </w:style>
  <w:style w:type="paragraph" w:styleId="Voettekst">
    <w:name w:val="footer"/>
    <w:basedOn w:val="Standaard"/>
    <w:link w:val="VoettekstChar"/>
    <w:uiPriority w:val="99"/>
    <w:unhideWhenUsed/>
    <w:rsid w:val="003D69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6944"/>
    <w:rPr>
      <w:rFonts w:ascii="Calibri" w:hAnsi="Calibri"/>
    </w:rPr>
  </w:style>
  <w:style w:type="paragraph" w:styleId="Geenafstand">
    <w:name w:val="No Spacing"/>
    <w:uiPriority w:val="1"/>
    <w:qFormat/>
    <w:rsid w:val="003D6944"/>
    <w:pPr>
      <w:spacing w:after="0" w:line="240" w:lineRule="auto"/>
    </w:pPr>
    <w:rPr>
      <w:rFonts w:ascii="Calibri" w:hAnsi="Calibri"/>
    </w:rPr>
  </w:style>
  <w:style w:type="character" w:styleId="Intensievebenadrukking">
    <w:name w:val="Intense Emphasis"/>
    <w:basedOn w:val="Standaardalinea-lettertype"/>
    <w:uiPriority w:val="21"/>
    <w:qFormat/>
    <w:rsid w:val="000734AB"/>
    <w:rPr>
      <w:i/>
      <w:iCs/>
      <w:color w:val="0F4C81" w:themeColor="accent1"/>
    </w:rPr>
  </w:style>
  <w:style w:type="paragraph" w:styleId="Citaat">
    <w:name w:val="Quote"/>
    <w:basedOn w:val="Standaard"/>
    <w:next w:val="Standaard"/>
    <w:link w:val="CitaatChar"/>
    <w:uiPriority w:val="29"/>
    <w:qFormat/>
    <w:rsid w:val="000734AB"/>
    <w:pPr>
      <w:spacing w:before="200" w:after="200" w:line="270" w:lineRule="exact"/>
      <w:ind w:left="862" w:right="862"/>
    </w:pPr>
    <w:rPr>
      <w:rFonts w:asciiTheme="minorHAnsi" w:hAnsiTheme="minorHAnsi"/>
      <w:i/>
      <w:iCs/>
      <w:color w:val="676767"/>
    </w:rPr>
  </w:style>
  <w:style w:type="character" w:customStyle="1" w:styleId="CitaatChar">
    <w:name w:val="Citaat Char"/>
    <w:basedOn w:val="Standaardalinea-lettertype"/>
    <w:link w:val="Citaat"/>
    <w:uiPriority w:val="29"/>
    <w:rsid w:val="000734AB"/>
    <w:rPr>
      <w:i/>
      <w:iCs/>
      <w:color w:val="676767"/>
    </w:rPr>
  </w:style>
  <w:style w:type="character" w:styleId="Nadruk">
    <w:name w:val="Emphasis"/>
    <w:basedOn w:val="Standaardalinea-lettertype"/>
    <w:uiPriority w:val="20"/>
    <w:qFormat/>
    <w:rsid w:val="000734AB"/>
    <w:rPr>
      <w:i/>
      <w:iCs/>
    </w:rPr>
  </w:style>
  <w:style w:type="paragraph" w:customStyle="1" w:styleId="Onderwerp">
    <w:name w:val="Onderwerp"/>
    <w:basedOn w:val="Standaard"/>
    <w:link w:val="OnderwerpChar"/>
    <w:qFormat/>
    <w:rsid w:val="00732742"/>
    <w:pPr>
      <w:tabs>
        <w:tab w:val="left" w:pos="1191"/>
      </w:tabs>
      <w:spacing w:after="240" w:line="270" w:lineRule="exact"/>
      <w:ind w:left="1191" w:hanging="1191"/>
    </w:pPr>
    <w:rPr>
      <w:rFonts w:asciiTheme="minorHAnsi" w:eastAsia="Times" w:hAnsiTheme="minorHAnsi" w:cs="Times New Roman"/>
      <w:b/>
      <w:bCs/>
      <w:lang w:eastAsia="nl-BE"/>
    </w:rPr>
  </w:style>
  <w:style w:type="character" w:customStyle="1" w:styleId="OnderwerpChar">
    <w:name w:val="Onderwerp Char"/>
    <w:basedOn w:val="Standaardalinea-lettertype"/>
    <w:link w:val="Onderwerp"/>
    <w:rsid w:val="00732742"/>
    <w:rPr>
      <w:rFonts w:eastAsia="Times" w:cs="Times New Roman"/>
      <w:b/>
      <w:bCs/>
      <w:lang w:eastAsia="nl-BE"/>
    </w:rPr>
  </w:style>
  <w:style w:type="paragraph" w:customStyle="1" w:styleId="Tabelheader">
    <w:name w:val="Tabel header"/>
    <w:basedOn w:val="Standaard"/>
    <w:qFormat/>
    <w:rsid w:val="000734AB"/>
    <w:pPr>
      <w:spacing w:line="240" w:lineRule="auto"/>
    </w:pPr>
    <w:rPr>
      <w:rFonts w:asciiTheme="minorHAnsi" w:hAnsiTheme="minorHAnsi"/>
      <w:b/>
      <w:bCs/>
      <w:color w:val="134C81"/>
      <w:sz w:val="18"/>
    </w:rPr>
  </w:style>
  <w:style w:type="paragraph" w:customStyle="1" w:styleId="Tabelinhoud">
    <w:name w:val="Tabel inhoud"/>
    <w:basedOn w:val="Standaard"/>
    <w:qFormat/>
    <w:rsid w:val="000734AB"/>
    <w:pPr>
      <w:spacing w:line="270" w:lineRule="exact"/>
    </w:pPr>
    <w:rPr>
      <w:rFonts w:asciiTheme="minorHAnsi" w:hAnsiTheme="minorHAnsi"/>
      <w:bCs/>
      <w:color w:val="1C1A15" w:themeColor="background2" w:themeShade="1A"/>
      <w:sz w:val="18"/>
      <w:szCs w:val="17"/>
    </w:rPr>
  </w:style>
  <w:style w:type="character" w:customStyle="1" w:styleId="Vet">
    <w:name w:val="Vet"/>
    <w:uiPriority w:val="1"/>
    <w:qFormat/>
    <w:rsid w:val="000734AB"/>
    <w:rPr>
      <w:rFonts w:asciiTheme="minorHAnsi" w:hAnsiTheme="minorHAnsi"/>
      <w:b/>
      <w:szCs w:val="20"/>
    </w:rPr>
  </w:style>
  <w:style w:type="paragraph" w:customStyle="1" w:styleId="Opsomming-lijst">
    <w:name w:val="Opsomming-lijst"/>
    <w:basedOn w:val="Standaard"/>
    <w:next w:val="Standaard"/>
    <w:link w:val="Opsomming-lijstChar"/>
    <w:qFormat/>
    <w:rsid w:val="00A44990"/>
    <w:pPr>
      <w:numPr>
        <w:numId w:val="10"/>
      </w:numPr>
      <w:spacing w:after="60"/>
    </w:pPr>
    <w:rPr>
      <w:color w:val="1C1A15" w:themeColor="background2" w:themeShade="1A"/>
    </w:rPr>
  </w:style>
  <w:style w:type="character" w:customStyle="1" w:styleId="Opsomming-lijstChar">
    <w:name w:val="Opsomming-lijst Char"/>
    <w:basedOn w:val="Standaardalinea-lettertype"/>
    <w:link w:val="Opsomming-lijst"/>
    <w:rsid w:val="00A44990"/>
    <w:rPr>
      <w:rFonts w:ascii="Calibri" w:hAnsi="Calibri"/>
      <w:color w:val="1C1A15" w:themeColor="background2" w:themeShade="1A"/>
    </w:rPr>
  </w:style>
  <w:style w:type="paragraph" w:customStyle="1" w:styleId="voettekstnota">
    <w:name w:val="voettekst_nota"/>
    <w:link w:val="voettekstnotaChar"/>
    <w:qFormat/>
    <w:rsid w:val="00054D5D"/>
    <w:pPr>
      <w:tabs>
        <w:tab w:val="right" w:pos="9921"/>
      </w:tabs>
      <w:spacing w:before="200" w:after="120" w:line="240" w:lineRule="auto"/>
    </w:pPr>
    <w:rPr>
      <w:rFonts w:ascii="Calibri" w:hAnsi="Calibri"/>
      <w:bCs/>
      <w:sz w:val="18"/>
      <w:szCs w:val="20"/>
    </w:rPr>
  </w:style>
  <w:style w:type="character" w:customStyle="1" w:styleId="voettekstnotaChar">
    <w:name w:val="voettekst_nota Char"/>
    <w:basedOn w:val="KoptekstChar"/>
    <w:link w:val="voettekstnota"/>
    <w:rsid w:val="00054D5D"/>
    <w:rPr>
      <w:rFonts w:ascii="Calibri" w:hAnsi="Calibri"/>
      <w:bCs/>
      <w:sz w:val="18"/>
      <w:szCs w:val="20"/>
    </w:rPr>
  </w:style>
  <w:style w:type="paragraph" w:styleId="Kopvaninhoudsopgave">
    <w:name w:val="TOC Heading"/>
    <w:basedOn w:val="Kop1"/>
    <w:next w:val="Standaard"/>
    <w:uiPriority w:val="39"/>
    <w:qFormat/>
    <w:rsid w:val="00EE1AEC"/>
    <w:pPr>
      <w:numPr>
        <w:numId w:val="0"/>
      </w:numPr>
      <w:spacing w:before="240" w:after="240"/>
      <w:outlineLvl w:val="9"/>
    </w:pPr>
    <w:rPr>
      <w:rFonts w:asciiTheme="majorHAnsi" w:hAnsiTheme="majorHAnsi"/>
      <w:bCs w:val="0"/>
      <w:color w:val="0B3860" w:themeColor="accent1" w:themeShade="BF"/>
      <w:sz w:val="32"/>
      <w:szCs w:val="32"/>
    </w:rPr>
  </w:style>
  <w:style w:type="paragraph" w:styleId="Inhopg1">
    <w:name w:val="toc 1"/>
    <w:basedOn w:val="Standaard"/>
    <w:next w:val="Standaard"/>
    <w:autoRedefine/>
    <w:uiPriority w:val="39"/>
    <w:rsid w:val="000A7B51"/>
    <w:pPr>
      <w:spacing w:after="100"/>
      <w:ind w:left="709" w:hanging="709"/>
    </w:pPr>
  </w:style>
  <w:style w:type="paragraph" w:styleId="Inhopg2">
    <w:name w:val="toc 2"/>
    <w:basedOn w:val="Standaard"/>
    <w:next w:val="Standaard"/>
    <w:autoRedefine/>
    <w:uiPriority w:val="39"/>
    <w:rsid w:val="000A7B51"/>
    <w:pPr>
      <w:spacing w:after="100"/>
      <w:ind w:left="930" w:hanging="709"/>
    </w:pPr>
  </w:style>
  <w:style w:type="paragraph" w:styleId="Inhopg3">
    <w:name w:val="toc 3"/>
    <w:basedOn w:val="Standaard"/>
    <w:next w:val="Standaard"/>
    <w:autoRedefine/>
    <w:uiPriority w:val="39"/>
    <w:rsid w:val="000A7B51"/>
    <w:pPr>
      <w:spacing w:after="100"/>
      <w:ind w:left="1151" w:hanging="709"/>
    </w:pPr>
  </w:style>
  <w:style w:type="paragraph" w:styleId="Voetnoottekst">
    <w:name w:val="footnote text"/>
    <w:basedOn w:val="Standaard"/>
    <w:link w:val="VoetnoottekstChar"/>
    <w:uiPriority w:val="99"/>
    <w:unhideWhenUsed/>
    <w:rsid w:val="006328BA"/>
    <w:pPr>
      <w:spacing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rsid w:val="006328BA"/>
    <w:rPr>
      <w:sz w:val="20"/>
      <w:szCs w:val="20"/>
    </w:rPr>
  </w:style>
  <w:style w:type="character" w:styleId="Voetnootmarkering">
    <w:name w:val="footnote reference"/>
    <w:basedOn w:val="Standaardalinea-lettertype"/>
    <w:uiPriority w:val="99"/>
    <w:semiHidden/>
    <w:unhideWhenUsed/>
    <w:rsid w:val="006328BA"/>
    <w:rPr>
      <w:vertAlign w:val="superscript"/>
    </w:rPr>
  </w:style>
  <w:style w:type="character" w:styleId="Hyperlink">
    <w:name w:val="Hyperlink"/>
    <w:basedOn w:val="Standaardalinea-lettertype"/>
    <w:uiPriority w:val="99"/>
    <w:unhideWhenUsed/>
    <w:rsid w:val="006328BA"/>
    <w:rPr>
      <w:color w:val="3C96BE" w:themeColor="hyperlink"/>
      <w:u w:val="single"/>
    </w:rPr>
  </w:style>
  <w:style w:type="character" w:styleId="Onopgelostemelding">
    <w:name w:val="Unresolved Mention"/>
    <w:basedOn w:val="Standaardalinea-lettertype"/>
    <w:uiPriority w:val="99"/>
    <w:semiHidden/>
    <w:unhideWhenUsed/>
    <w:rsid w:val="00632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5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rinkwater@vlaanderen.b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efsa.onlinelibrary.wiley.com/doi/pdf/10.2903/j.efsa.2018.5376" TargetMode="External"/><Relationship Id="rId1" Type="http://schemas.openxmlformats.org/officeDocument/2006/relationships/hyperlink" Target="https://www.epa.gov/sdwa/2021-human-health-benchmarks-pestici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Interne_nota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95B2689A143DA97B00026F52E5E11"/>
        <w:category>
          <w:name w:val="Algemeen"/>
          <w:gallery w:val="placeholder"/>
        </w:category>
        <w:types>
          <w:type w:val="bbPlcHdr"/>
        </w:types>
        <w:behaviors>
          <w:behavior w:val="content"/>
        </w:behaviors>
        <w:guid w:val="{4A2E91C8-8055-42E1-9EE2-8EF3BE28D95E}"/>
      </w:docPartPr>
      <w:docPartBody>
        <w:p w:rsidR="00D53B83" w:rsidRDefault="00D53B83">
          <w:pPr>
            <w:pStyle w:val="F5195B2689A143DA97B00026F52E5E11"/>
          </w:pPr>
          <w:r w:rsidRPr="00ED6A53">
            <w:t>Onderwerp van de nota</w:t>
          </w:r>
        </w:p>
      </w:docPartBody>
    </w:docPart>
    <w:docPart>
      <w:docPartPr>
        <w:name w:val="F5A2F179B9664AE3AD673A8AD42C0819"/>
        <w:category>
          <w:name w:val="Algemeen"/>
          <w:gallery w:val="placeholder"/>
        </w:category>
        <w:types>
          <w:type w:val="bbPlcHdr"/>
        </w:types>
        <w:behaviors>
          <w:behavior w:val="content"/>
        </w:behaviors>
        <w:guid w:val="{5C7119B0-15C0-4358-BFBB-FEFD71758EA9}"/>
      </w:docPartPr>
      <w:docPartBody>
        <w:p w:rsidR="00D53B83" w:rsidRDefault="00D53B83">
          <w:pPr>
            <w:pStyle w:val="F5A2F179B9664AE3AD673A8AD42C0819"/>
          </w:pPr>
          <w:r w:rsidRPr="00ED00D1">
            <w:rPr>
              <w:rStyle w:val="voettekstnotaChar"/>
              <w:szCs w:val="18"/>
            </w:rPr>
            <w:t>Onderwerp van de nota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83"/>
    <w:rsid w:val="000072F6"/>
    <w:rsid w:val="000901B8"/>
    <w:rsid w:val="00140795"/>
    <w:rsid w:val="001B2572"/>
    <w:rsid w:val="004946FB"/>
    <w:rsid w:val="00501ADE"/>
    <w:rsid w:val="00B1729D"/>
    <w:rsid w:val="00B5552E"/>
    <w:rsid w:val="00BF436C"/>
    <w:rsid w:val="00D53B83"/>
    <w:rsid w:val="00E3742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5195B2689A143DA97B00026F52E5E11">
    <w:name w:val="F5195B2689A143DA97B00026F52E5E11"/>
  </w:style>
  <w:style w:type="paragraph" w:customStyle="1" w:styleId="voettekstnota">
    <w:name w:val="voettekst_nota"/>
    <w:link w:val="voettekstnotaChar"/>
    <w:qFormat/>
    <w:pPr>
      <w:tabs>
        <w:tab w:val="right" w:pos="9921"/>
      </w:tabs>
      <w:spacing w:before="200" w:after="120" w:line="240" w:lineRule="auto"/>
    </w:pPr>
    <w:rPr>
      <w:rFonts w:ascii="Calibri" w:eastAsiaTheme="minorHAnsi" w:hAnsi="Calibri"/>
      <w:bCs/>
      <w:kern w:val="0"/>
      <w:sz w:val="18"/>
      <w:szCs w:val="20"/>
      <w:lang w:eastAsia="en-US"/>
      <w14:ligatures w14:val="none"/>
    </w:rPr>
  </w:style>
  <w:style w:type="character" w:customStyle="1" w:styleId="voettekstnotaChar">
    <w:name w:val="voettekst_nota Char"/>
    <w:basedOn w:val="Standaardalinea-lettertype"/>
    <w:link w:val="voettekstnota"/>
    <w:rPr>
      <w:rFonts w:ascii="Calibri" w:eastAsiaTheme="minorHAnsi" w:hAnsi="Calibri"/>
      <w:bCs/>
      <w:kern w:val="0"/>
      <w:sz w:val="18"/>
      <w:szCs w:val="20"/>
      <w:lang w:eastAsia="en-US"/>
      <w14:ligatures w14:val="none"/>
    </w:rPr>
  </w:style>
  <w:style w:type="paragraph" w:customStyle="1" w:styleId="F5A2F179B9664AE3AD673A8AD42C0819">
    <w:name w:val="F5A2F179B9664AE3AD673A8AD42C0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9ca8161-7180-459b-a0ef-1a71cf6ffea5" ContentTypeId="0x010100E5B23CBEC15EF443818A347F7744E75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Drinkwater</TermName>
          <TermId xmlns="http://schemas.microsoft.com/office/infopath/2007/PartnerControls">8d1eae2f-1ae7-4bfe-a249-8719550c1c11</TermId>
        </TermInfo>
      </Term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Milieugezondheidszorg</TermName>
          <TermId xmlns="http://schemas.microsoft.com/office/infopath/2007/PartnerControls">404741d1-25b6-4f48-b485-ff474f4e78c8</TermId>
        </TermInfo>
      </Terms>
    </i2d81646cf3b4af085db4e59f76b2271>
    <TaxCatchAll xmlns="9a9ec0f0-7796-43d0-ac1f-4c8c46ee0bd1">
      <Value>4</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ZG DW Project Doc" ma:contentTypeID="0x010100E5B23CBEC15EF443818A347F7744E758002F737BB326131A47BE691B9410CD8D0400D21743E4983D274F8B9BB2E9877B2794" ma:contentTypeVersion="9" ma:contentTypeDescription="" ma:contentTypeScope="" ma:versionID="1576d32dc44223862d581d89a5c92ea6">
  <xsd:schema xmlns:xsd="http://www.w3.org/2001/XMLSchema" xmlns:xs="http://www.w3.org/2001/XMLSchema" xmlns:p="http://schemas.microsoft.com/office/2006/metadata/properties" xmlns:ns2="9a9ec0f0-7796-43d0-ac1f-4c8c46ee0bd1" xmlns:ns3="35a75d94-8da9-4b9a-a8b3-0699435580e4" targetNamespace="http://schemas.microsoft.com/office/2006/metadata/properties" ma:root="true" ma:fieldsID="358d07077dd7ddb42fb6445824fe70ca" ns2:_="" ns3:_="">
    <xsd:import namespace="9a9ec0f0-7796-43d0-ac1f-4c8c46ee0bd1"/>
    <xsd:import namespace="35a75d94-8da9-4b9a-a8b3-0699435580e4"/>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Milieugezondheidszorg|404741d1-25b6-4f48-b485-ff474f4e78c8"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a75d94-8da9-4b9a-a8b3-0699435580e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787E-59A5-4F94-BE48-3EC3CD8285A1}">
  <ds:schemaRefs>
    <ds:schemaRef ds:uri="Microsoft.SharePoint.Taxonomy.ContentTypeSync"/>
  </ds:schemaRefs>
</ds:datastoreItem>
</file>

<file path=customXml/itemProps2.xml><?xml version="1.0" encoding="utf-8"?>
<ds:datastoreItem xmlns:ds="http://schemas.openxmlformats.org/officeDocument/2006/customXml" ds:itemID="{D0EA4314-8AB7-4436-8AB2-66B7E70AB843}">
  <ds:schemaRefs>
    <ds:schemaRef ds:uri="http://schemas.microsoft.com/sharepoint/v3/contenttype/forms"/>
  </ds:schemaRefs>
</ds:datastoreItem>
</file>

<file path=customXml/itemProps3.xml><?xml version="1.0" encoding="utf-8"?>
<ds:datastoreItem xmlns:ds="http://schemas.openxmlformats.org/officeDocument/2006/customXml" ds:itemID="{08CFA42C-72F9-4CB8-A368-4B47BD53D763}">
  <ds:schemaRefs>
    <ds:schemaRef ds:uri="http://schemas.microsoft.com/office/2006/metadata/properties"/>
    <ds:schemaRef ds:uri="http://schemas.microsoft.com/office/infopath/2007/PartnerControls"/>
    <ds:schemaRef ds:uri="9a9ec0f0-7796-43d0-ac1f-4c8c46ee0bd1"/>
  </ds:schemaRefs>
</ds:datastoreItem>
</file>

<file path=customXml/itemProps4.xml><?xml version="1.0" encoding="utf-8"?>
<ds:datastoreItem xmlns:ds="http://schemas.openxmlformats.org/officeDocument/2006/customXml" ds:itemID="{60253980-AE02-4654-8EA0-6EF77732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35a75d94-8da9-4b9a-a8b3-069943558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BFD1F6-500F-4ABB-9447-AB7E4DC99DAD}">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Interne_nota_Zorg_PrevGezbel</Template>
  <TotalTime>105</TotalTime>
  <Pages>6</Pages>
  <Words>2492</Words>
  <Characters>13706</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Veel gestelde vragen rond de gezondheidsaspecten van 1,2,4-triazool in drinkwater</vt:lpstr>
    </vt:vector>
  </TitlesOfParts>
  <Company>Vlaamse Overheid</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Veel gestelde vragen rond de gezondheidsaspecten van 1,2,4-triazool in drinkwater</dc:title>
  <dc:subject/>
  <dc:creator>Lejon, Liesbeth</dc:creator>
  <cp:keywords/>
  <dc:description/>
  <cp:lastModifiedBy>Valckenaers Lotte</cp:lastModifiedBy>
  <cp:revision>1</cp:revision>
  <dcterms:created xsi:type="dcterms:W3CDTF">2026-03-06T07:59:00Z</dcterms:created>
  <dcterms:modified xsi:type="dcterms:W3CDTF">2026-03-10T14:44:00Z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0x010100E5B23CBEC15EF443818A347F7744E758002F737BB326131A47BE691B9410CD8D0400D21743E4983D274F8B9BB2E9877B2794</vt:lpwstr>
  </property>
  <property fmtid="{D5CDD505-2E9C-101B-9397-08002B2CF9AE}" pid="3" name="MediaServiceImageTags">
    <vt:lpwstr/>
  </property>
  <property fmtid="{D5CDD505-2E9C-101B-9397-08002B2CF9AE}" pid="4" name="_dlc_DocIdItemGuid">
    <vt:lpwstr>98cd852e-87aa-4e49-b1cb-6c911271a06f</vt:lpwstr>
  </property>
  <property fmtid="{D5CDD505-2E9C-101B-9397-08002B2CF9AE}" pid="5" name="ZG Thema">
    <vt:lpwstr>1;#Milieugezondheidszorg|404741d1-25b6-4f48-b485-ff474f4e78c8</vt:lpwstr>
  </property>
  <property fmtid="{D5CDD505-2E9C-101B-9397-08002B2CF9AE}" pid="6" name="ZG_x0020_Subthema">
    <vt:lpwstr>4;#Drinkwater|8d1eae2f-1ae7-4bfe-a249-8719550c1c11</vt:lpwstr>
  </property>
  <property fmtid="{D5CDD505-2E9C-101B-9397-08002B2CF9AE}" pid="7" name="ZG Subthema">
    <vt:lpwstr>4;#Drinkwater|8d1eae2f-1ae7-4bfe-a249-8719550c1c11</vt:lpwstr>
  </property>
  <property fmtid="{D5CDD505-2E9C-101B-9397-08002B2CF9AE}" pid="8" name="ZG_x0020_Thema">
    <vt:lpwstr>1;#Milieugezondheidszorg|404741d1-25b6-4f48-b485-ff474f4e78c8</vt:lpwstr>
  </property>
</Properties>
</file>