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La Cremallera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Saltar sobre un grup de persones que et recolliran.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 □ Fer equips        x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x Estol   x Secció   x Unitat  x Clan   x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8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Qualsevol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Confiar en la resta i saltar sobre el suport que ells crearan.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fan grups de 9 o més persones. Una persona del grup surt, i la resta es posen en dues files cara a cara. Les persones que estan cara a cara han de creuar les mans de forma que es formi una xarxa, i agafar-se fort.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persona que està fora ha de saltar sobre de les mans de les persones, confiant en el fet que aquestes l’agafaran. S’anirà rotant el rol de la persona que salti.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Caldrà treure’s rellotges i arracades grans. També apartar una mica el cap.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Estigueu atentes a què tothom se senti còmode amb el contacte físic i no obligueu a ningú a fer-ho. No assenyaleu les persones que no vulguin participar.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pot saltar des d’un punt més alt, com una tarima o una taula. 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X6LDkGuzF0rNXXwDRLUnveRZQ==">CgMxLjA4AHIhMTRhSEgxVFJZM3BPLXNkZmdHRmRLVmZ4WE1nT2pCN3NV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