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Amaga el número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Cadascú té un número al front. Qui s’apropi més a encertar la suma de tots els números, guanya. És un joc d’estratègia.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□ Estol   x Secció   x Unitat  x Clan   □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&gt;4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 espai, on poder-se amagar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Retoladors o paper, cel·lo i boli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Tants papers i bolis com participants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 jugador ha d’intentar descobrir quina és la suma dels números de tothom.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cadascú se li dibuixa o enganxa un número al front, que no pot veure. Comença tothom separat, a una distància on no es pugui veure els números dels altres.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Durant 20 minuts, tothom ha d’intentar trobar la suma dels números de tothom, o aproximar-se el màxim possible. De fet, guanyarà qui s’apropi més; per això, els participants han d’intentar que no descobreixin el seu número.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es pot tapar el número, ha d’estar sempre visible.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s’acabi el temps, es xiula o es crida i cadascú en el lloc on estigui, escriu en el paper quan creu que dona la suma.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Estan permeses les aliances i negociacions per la informació.</w:t>
            </w:r>
          </w:p>
        </w:tc>
      </w:tr>
      <w:tr>
        <w:trPr>
          <w:cantSplit w:val="0"/>
          <w:trHeight w:val="327.10937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es juga de nit, es poden posar llanternes.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Wwh0Earjz+miQTFn7hXYjt2Qg==">CgMxLjA4AHIhMVgxSDI5VEFMMnNVekRmNm1fek10TG9TbjJUVDFfT3k1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