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Cadena de gestos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És un joc semblant al telèfon, però amb gestos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Competitiu   x Cooperatiu    □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x Estàtic 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Colònia   x Estol   x Secció   x Unitat  x Clan   x Consell  x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Més de 3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Indiferent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Transmetre un missatge entre tot el grup sense que es perdi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Tothom surt de l’espai o es posa d’esquenes per no veure què està passant. A la sala ve una sola persona i qui dinamitza el joc.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la persona que està a la sala (persona 1), se li dona una idea o un concepte a representar amb mímica. Després, es porta una altra persona (persona 2) a la sala i qui sap la idea (persona 1) l’ha de representar amb mímica. Qui acaba d’entrar (persona 2) no pot dir res i ha de posar cara de pòquer.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Després de la representació, cal que entri una altra persona (persona 3) a la sala i qui acaba de rebre el missatge (persona 2), l’ha de transmetre també amb mímica. I així fem successivament fins que entri la darrera persona.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L’última persona ha de dir què ha entès.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missatge s’ha d’adaptar al grup. Es pot utilitzar per treballar alguna temàtica.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 hi ha molta gent, es pot fer la representació per grups o en parelles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 es vol fer competitiu, es pot fer en paral·lel en dos equips i veure qui transmet millor el missatge.</w:t>
            </w:r>
          </w:p>
        </w:tc>
      </w:tr>
    </w:tbl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6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WbcOYiZXd9pc/+0npSYQyo1FsQ==">CgMxLjA4AHIhMU50UVh6Nlhfc2ZfMjNYdk9CN2lMbVM0dU5NTFpvRTVo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