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gjdgxs" w:id="0"/>
    <w:bookmarkEnd w:id="0"/>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ourier" w:cs="Courier" w:eastAsia="Courier" w:hAnsi="Courier"/>
          <w:b w:val="1"/>
          <w:bCs w:val="1"/>
          <w:i w:val="1"/>
          <w:iCs w:val="1"/>
          <w:smallCaps w:val="1"/>
          <w:strike w:val="0"/>
          <w:color w:val="000000"/>
          <w:sz w:val="24"/>
          <w:szCs w:val="24"/>
          <w:u w:val="none"/>
          <w:shd w:fill="auto" w:val="clear"/>
          <w:vertAlign w:val="baseline"/>
        </w:rPr>
      </w:pPr>
      <w:r w:rsidDel="00000000" w:rsidR="00000000" w:rsidRPr="00000000">
        <w:rPr>
          <w:rFonts w:ascii="Courier" w:cs="Courier" w:eastAsia="Courier" w:hAnsi="Courier"/>
          <w:b w:val="1"/>
          <w:bCs w:val="1"/>
          <w:i w:val="1"/>
          <w:iCs w:val="1"/>
          <w:smallCaps w:val="1"/>
          <w:strike w:val="0"/>
          <w:color w:val="000000"/>
          <w:sz w:val="24"/>
          <w:szCs w:val="24"/>
          <w:u w:val="none"/>
          <w:shd w:fill="auto" w:val="clear"/>
          <w:vertAlign w:val="baseline"/>
          <w:rtl w:val="0"/>
        </w:rPr>
        <w:t xml:space="preserve">SLUG: IG: ESTATE PLANNING, 5E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ourier" w:cs="Courier" w:eastAsia="Courier" w:hAnsi="Courier"/>
          <w:b w:val="1"/>
          <w:bCs w:val="1"/>
          <w:i w:val="1"/>
          <w:iCs w:val="1"/>
          <w:smallCaps w:val="1"/>
          <w:strike w:val="0"/>
          <w:color w:val="000000"/>
          <w:sz w:val="24"/>
          <w:szCs w:val="24"/>
          <w:u w:val="none"/>
          <w:shd w:fill="auto" w:val="clear"/>
          <w:vertAlign w:val="baseline"/>
        </w:rPr>
      </w:pPr>
      <w:r w:rsidDel="00000000" w:rsidR="00000000" w:rsidRPr="00000000">
        <w:rPr>
          <w:rFonts w:ascii="Courier" w:cs="Courier" w:eastAsia="Courier" w:hAnsi="Courier"/>
          <w:b w:val="1"/>
          <w:bCs w:val="1"/>
          <w:i w:val="1"/>
          <w:iCs w:val="1"/>
          <w:smallCaps w:val="1"/>
          <w:strike w:val="0"/>
          <w:color w:val="000000"/>
          <w:sz w:val="24"/>
          <w:szCs w:val="24"/>
          <w:u w:val="none"/>
          <w:shd w:fill="auto" w:val="clear"/>
          <w:vertAlign w:val="baseline"/>
          <w:rtl w:val="0"/>
        </w:rPr>
        <w:t xml:space="preserve">***ONLINE MATERIALS LANDING PAGE TEXT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ourier" w:cs="Courier" w:eastAsia="Courier" w:hAnsi="Courier"/>
          <w:b w:val="1"/>
          <w:bCs w:val="1"/>
          <w:i w:val="1"/>
          <w:iCs w:val="1"/>
          <w:smallCaps w:val="1"/>
          <w:strike w:val="0"/>
          <w:color w:val="000000"/>
          <w:sz w:val="24"/>
          <w:szCs w:val="24"/>
          <w:u w:val="none"/>
          <w:shd w:fill="auto" w:val="clear"/>
          <w:vertAlign w:val="baseline"/>
        </w:rPr>
      </w:pPr>
      <w:r w:rsidDel="00000000" w:rsidR="00000000" w:rsidRPr="00000000">
        <w:rPr>
          <w:rFonts w:ascii="Courier" w:cs="Courier" w:eastAsia="Courier" w:hAnsi="Courier"/>
          <w:b w:val="1"/>
          <w:bCs w:val="1"/>
          <w:i w:val="1"/>
          <w:iCs w:val="1"/>
          <w:smallCaps w:val="1"/>
          <w:strike w:val="0"/>
          <w:color w:val="000000"/>
          <w:sz w:val="24"/>
          <w:szCs w:val="24"/>
          <w:u w:val="none"/>
          <w:shd w:fill="auto" w:val="clear"/>
          <w:vertAlign w:val="baseline"/>
          <w:rtl w:val="0"/>
        </w:rPr>
        <w:t xml:space="preserve">***PLEASE LINK EACH FORM WITH ITS NAME BELOW.</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ourier" w:cs="Courier" w:eastAsia="Courier" w:hAnsi="Courier"/>
          <w:b w:val="1"/>
          <w:bCs w:val="1"/>
          <w:i w:val="1"/>
          <w:iCs w:val="1"/>
          <w:smallCaps w:val="1"/>
          <w:strike w:val="0"/>
          <w:color w:val="000000"/>
          <w:sz w:val="24"/>
          <w:szCs w:val="24"/>
          <w:u w:val="none"/>
          <w:shd w:fill="auto" w:val="clear"/>
          <w:vertAlign w:val="baseline"/>
        </w:rPr>
      </w:pPr>
      <w:r w:rsidDel="00000000" w:rsidR="00000000" w:rsidRPr="00000000">
        <w:rPr>
          <w:rFonts w:ascii="Courier" w:cs="Courier" w:eastAsia="Courier" w:hAnsi="Courier"/>
          <w:b w:val="1"/>
          <w:bCs w:val="1"/>
          <w:i w:val="1"/>
          <w:iCs w:val="1"/>
          <w:smallCaps w:val="1"/>
          <w:strike w:val="0"/>
          <w:color w:val="000000"/>
          <w:sz w:val="24"/>
          <w:szCs w:val="24"/>
          <w:u w:val="none"/>
          <w:shd w:fill="auto" w:val="clear"/>
          <w:vertAlign w:val="baseline"/>
          <w:rtl w:val="0"/>
        </w:rPr>
        <w:t xml:space="preserve">***PROOFREADING: FOR THE MOST PART, THIS EXACTLY MATCHES APPENDIX B. THE FIRST PARAGRAPH THERE IS NOT INCLUDED HERE, AND THE FIRST PARAGRAPH HERE IS JUST A LITTLE DIFFERENT. THE LIST OF FORMS SHOULD BE THE SAME THOUGH.</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(b)</w:t>
      </w:r>
      <w:r w:rsidDel="00000000" w:rsidR="00000000" w:rsidRPr="00000000">
        <w:rPr>
          <w:rFonts w:ascii="Courier" w:cs="Courier" w:eastAsia="Courier" w:hAnsi="Courier"/>
          <w:b w:val="1"/>
          <w:bCs w:val="1"/>
          <w:i w:val="1"/>
          <w:iCs w:val="1"/>
          <w:smallCaps w:val="0"/>
          <w:strike w:val="0"/>
          <w:color w:val="000000"/>
          <w:sz w:val="24"/>
          <w:szCs w:val="24"/>
          <w:u w:val="none"/>
          <w:shd w:fill="auto" w:val="clear"/>
          <w:vertAlign w:val="baseline"/>
          <w:rtl w:val="0"/>
        </w:rPr>
        <w:t xml:space="preserve">Idiot’s Guides: Estate Planning </w:t>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Book Extras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These estate planning forms and worksheets are not specific to any particular state. You should seek legal advice before executing any of these forms to ensure your documents are appropriate to your estate planning needs and conform to your state law. Because state laws vary and because your personal needs may differ from another user’s requirements, the author cannot warrant or guarantee that a legal form will meet your special needs. In Louisiana, these forms may not be valid, by Louisiana law.</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(c)Estate Planning Information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Estate Planning Information Sheet—Basic</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br w:type="textWrapping"/>
        <w:t xml:space="preserve">Information sheet for a person with some assets, such as a young adult without children.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Estate Planning Information Sheet—Complex</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Information sheet for a person with numerous assets and several beneficiaries.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Will Information Form</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Worksheet to determine beneficiaries, executors, and any guardianship or trust information for minor children.</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Trust Information Form</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Worksheet to determine beneficiaries, trustees, and distribution limits.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Estate Planning Worksheet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Worksheet of documents to complete your estate plan.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(c)Last Will and Testament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Last Will and Testament—Basic for Single Person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Simple will for a single person with a few assets but no children.</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Last Will and Testament—Basic for Married Person with Minor Children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Will with variable clauses for parents, prospective parents, and married couples.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Last Will and Testament—with Trust for Minor Children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Will with trust to manage assets for children if both parents die first.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Last Will and Testament—with Marital Deduction Trust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Will with trust for a surviving spouse to minimize the impact of the federal estate tax.</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Last Will and Testament—with Pour Over to Trust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Will with instructions on how assets pour over into an independent trust for spouse, children, or grandchildren.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Codicil</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Codicil to amend an existing will.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Miscellaneous Additional Will Provisions</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Various will provisions in addition to basic ones, such as special gifts, tax clauses, etc.</w:t>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Abatement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Advancement</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Miscellaneous Devises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Disinheritance Forms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Self-Proving Provision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Clause to a will used in some states to avoid calling to court a witness to the will.</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Pet Care Trust Agreement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Agreement that provides for a pet’s care upon the owner’s death or incompetence.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(c)Trusts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Revocable Trust Agreement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Agreement that makes a husband and wife the trustees for their own assets and avoids probate of trust assets.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Irrevocable QTIP Trust Agreement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 agreement established to use the marital deduction to save federal estate taxes.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Irrevocable Minor’s Trust Agreement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 to manage a minor’s assets until he or she becomes more mature.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Revocable Trust Agreement for an Incompetent Adult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 to manage assets for an incompetent adult with physical or mental limitations.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Charitable Annuity Trust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 to provide for individual beneficiaries and for a charity, with tax benefits.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(c)Health Care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Appointment of Health-Care Power of Attorney</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Authorizes another person to make health-care decisions for the grantor.</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Appointment of Health-Care Power of Attorney—Minor Child</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Allows parents to authorize another person to make health-care decisions for their child.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Life-Prolonging Procedures Declaration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Specifies that health-care personnel are to use appropriate methods to keep the declarant alive.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Out-of-Hospital Do Not Resuscitate Declaration and Order</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Provides that health-care personnel are not to resuscitate if only to keep the declarant alive.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Health-Care Information Authorization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Permits health-care personnel to disclose information about declarant to a third party.</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Living Will Declaration</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Specifies whether or not life-prolonging procedures will be taken if the grantor has an incurable disease or injury.</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Declaration of Anatomical Gift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Form that provides for the use of a donor’s organs.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(c)Power of Attorney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Limited Power of Attorney</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Power limited by the grantor to specific acts, such as closing on a sold residence.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Durable General Power of Attorney</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Power granted to permit another person to act on the grantor’s behalf (e.g., to manage his or her assets).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Revocation of Durable Power of Attorney</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Revocation of a previously granted power.</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(c)Property Arrangements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Prenuptial Agreement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Property arrangements before marriage in the event of later divorce or death.</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Community Property Agreement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Agreement acknowledging marital owned property in community property states.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Business Succession Planning Worksheet</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Worksheet to assist a business owner in properly planning for a successor on retirement or death.</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Affidavit of Domicile</w:t>
        <w:br w:type="textWrapping"/>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Statement that clarifies legal residence.</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