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Rule="auto"/>
        <w:rPr/>
      </w:pPr>
      <w:r w:rsidDel="00000000" w:rsidR="00000000" w:rsidRPr="00000000">
        <w:rPr>
          <w:rtl w:val="0"/>
        </w:rPr>
        <w:t xml:space="preserve">Tip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To write clearer, more powerful prose, avoid the passive voice and weak sentence structures, such as those that begin with "There are..." and "It is...." Think </w:t>
      </w:r>
      <w:r w:rsidDel="00000000" w:rsidR="00000000" w:rsidRPr="00000000">
        <w:rPr>
          <w:i w:val="1"/>
          <w:iCs w:val="1"/>
          <w:rtl w:val="0"/>
        </w:rPr>
        <w:t xml:space="preserve">subject-verb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Also carefully consider the words you choose – your </w:t>
      </w:r>
      <w:r w:rsidDel="00000000" w:rsidR="00000000" w:rsidRPr="00000000">
        <w:rPr>
          <w:i w:val="1"/>
          <w:iCs w:val="1"/>
          <w:rtl w:val="0"/>
        </w:rPr>
        <w:t xml:space="preserve">diction</w:t>
      </w:r>
      <w:r w:rsidDel="00000000" w:rsidR="00000000" w:rsidRPr="00000000">
        <w:rPr>
          <w:rtl w:val="0"/>
        </w:rPr>
        <w:t xml:space="preserve">. Choosing precise words not only communicates more clearly but also adds variety.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