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50" w:before="150" w:lineRule="auto"/>
        <w:ind w:left="150" w:right="150" w:firstLine="0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25" w:before="225" w:lineRule="auto"/>
        <w:ind w:left="150" w:right="150" w:firstLine="0"/>
        <w:rPr>
          <w:rFonts w:ascii="Arial" w:cs="Arial" w:eastAsia="Arial" w:hAnsi="Arial"/>
          <w:highlight w:val="white"/>
        </w:rPr>
      </w:pP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Ljubljana Castle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50" w:right="150" w:firstLine="0"/>
        <w:rPr>
          <w:rFonts w:ascii="Arial" w:cs="Arial" w:eastAsia="Arial" w:hAnsi="Arial"/>
          <w:sz w:val="20"/>
          <w:szCs w:val="20"/>
          <w:highlight w:val="whit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Ljubljana Castle is one of Ljubljana's most prominent landmarks. Built on a hill overlooking the city of Ljubljana, Slovenia, the castle provides a view of the entire city. Looking north from the tower, you can even see the Alps!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50" w:right="150" w:firstLine="0"/>
        <w:rPr>
          <w:rFonts w:ascii="Arial" w:cs="Arial" w:eastAsia="Arial" w:hAnsi="Arial"/>
          <w:sz w:val="20"/>
          <w:szCs w:val="20"/>
          <w:highlight w:val="whit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In 1905 the Municipality of Ljubljana purchased the castle for cultural purposes, but it was used primarily as a residential dwelling until 1964. Since then, it has undergone several renovations. Unfortunately, no clear plan was in place to ensure that the renovations provided a consistent look and feel, so the design is rather eclectic.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