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5" w:before="75" w:lineRule="auto"/>
        <w:ind w:left="225" w:right="75" w:firstLine="0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Rule="auto"/>
        <w:ind w:left="225" w:right="75" w:firstLine="0"/>
        <w:rPr/>
      </w:pPr>
      <w:r w:rsidDel="00000000" w:rsidR="00000000" w:rsidRPr="00000000">
        <w:rPr>
          <w:rtl w:val="0"/>
        </w:rPr>
        <w:t xml:space="preserve">Tip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225" w:right="75" w:firstLine="0"/>
        <w:rPr/>
      </w:pPr>
      <w:r w:rsidDel="00000000" w:rsidR="00000000" w:rsidRPr="00000000">
        <w:rPr>
          <w:rtl w:val="0"/>
        </w:rPr>
        <w:t xml:space="preserve">To write clearer, more powerful prose, avoid the passive voice and weak sentence structures, such as those that begin with "There are..." and "It is...." Think </w:t>
      </w:r>
      <w:r w:rsidDel="00000000" w:rsidR="00000000" w:rsidRPr="00000000">
        <w:rPr>
          <w:i w:val="1"/>
          <w:iCs w:val="1"/>
          <w:rtl w:val="0"/>
        </w:rPr>
        <w:t xml:space="preserve">subject-verb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225" w:right="75" w:firstLine="0"/>
        <w:rPr/>
      </w:pPr>
      <w:r w:rsidDel="00000000" w:rsidR="00000000" w:rsidRPr="00000000">
        <w:rPr>
          <w:rtl w:val="0"/>
        </w:rPr>
        <w:t xml:space="preserve">Also carefully consider the words you choose – your </w:t>
      </w:r>
      <w:r w:rsidDel="00000000" w:rsidR="00000000" w:rsidRPr="00000000">
        <w:rPr>
          <w:i w:val="1"/>
          <w:iCs w:val="1"/>
          <w:rtl w:val="0"/>
        </w:rPr>
        <w:t xml:space="preserve">diction</w:t>
      </w:r>
      <w:r w:rsidDel="00000000" w:rsidR="00000000" w:rsidRPr="00000000">
        <w:rPr>
          <w:rtl w:val="0"/>
        </w:rPr>
        <w:t xml:space="preserve">. Choosing precise words not only communicates more clearly but also adds variety.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