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gif" ContentType="image/gif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numbering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spacing w:before="170" w:after="113"/>
        <w:jc w:val="right"/>
        <w:rPr>
          <w:rFonts w:ascii="Corbel" w:hAnsi="Corbel"/>
          <w:b/>
          <w:b/>
          <w:i w:val="false"/>
          <w:i w:val="false"/>
          <w:color w:val="333333"/>
          <w:sz w:val="64"/>
          <w:szCs w:val="72"/>
        </w:rPr>
      </w:pPr>
      <w:r>
        <w:rPr>
          <w:rFonts w:ascii="Corbel" w:hAnsi="Corbel"/>
          <w:b/>
          <w:i w:val="false"/>
          <w:color w:val="333333"/>
          <w:sz w:val="64"/>
          <w:szCs w:val="72"/>
        </w:rPr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-200025</wp:posOffset>
                </wp:positionH>
                <wp:positionV relativeFrom="paragraph">
                  <wp:posOffset>9740900</wp:posOffset>
                </wp:positionV>
                <wp:extent cx="3641725" cy="449580"/>
                <wp:effectExtent l="0" t="0" r="0" b="0"/>
                <wp:wrapNone/>
                <wp:docPr id="1" name="Shap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1040" cy="448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/>
                              <w:ind w:hanging="0"/>
                              <w:rPr/>
                            </w:pPr>
                            <w:r>
                              <w:rPr>
                                <w:kern w:val="2"/>
                                <w:sz w:val="26"/>
                                <w:szCs w:val="26"/>
                                <w:rFonts w:eastAsia="SimSun" w:ascii="Sarabun" w:hAnsi="Sarabun" w:cs="Sarabun"/>
                                <w:color w:val="006EA5"/>
                                <w:lang w:val="en-AU" w:bidi="hi-IN"/>
                              </w:rPr>
                              <w:t>ชั้น 16 อาคาร สิทธิวรกิจ เลขที่ 5 ซอยพิพัฒน์</w:t>
                            </w:r>
                            <w:r>
                              <w:rPr>
                                <w:kern w:val="2"/>
                                <w:sz w:val="26"/>
                                <w:szCs w:val="26"/>
                                <w:rFonts w:eastAsia="SimSun" w:ascii="Sarabun" w:hAnsi="Sarabun" w:cs="Sarabun"/>
                                <w:color w:val="006EA5"/>
                                <w:lang w:val="en-AU" w:bidi="hi-IN"/>
                              </w:rPr>
                            </w:r>
                            <w:r>
                              <w:rPr>
                                <w:kern w:val="2"/>
                                <w:sz w:val="26"/>
                                <w:szCs w:val="26"/>
                                <w:rFonts w:eastAsia="SimSun" w:ascii="Sarabun" w:hAnsi="Sarabun" w:cs="Sarabun"/>
                                <w:color w:val="006EA5"/>
                                <w:lang w:val="en-AU" w:bidi="hi-IN"/>
                              </w:rPr>
                              <w:t>แขวงสีลม เขตบางรัก กรุงเทพฯ 10500</w:t>
                            </w:r>
                          </w:p>
                        </w:txbxContent>
                      </wps:txbx>
                      <wps:bodyPr wrap="square"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Shape3" stroked="f" style="position:absolute;margin-left:-15.75pt;margin-top:767pt;width:286.65pt;height:35.3pt;v-text-anchor:top" type="shapetype_202">
                <v:textbox>
                  <w:txbxContent>
                    <w:p>
                      <w:pPr>
                        <w:spacing w:before="0" w:after="0"/>
                        <w:ind w:hanging="0"/>
                        <w:rPr/>
                      </w:pPr>
                      <w:r>
                        <w:rPr>
                          <w:kern w:val="2"/>
                          <w:sz w:val="26"/>
                          <w:szCs w:val="26"/>
                          <w:rFonts w:eastAsia="SimSun" w:ascii="Sarabun" w:hAnsi="Sarabun" w:cs="Sarabun"/>
                          <w:color w:val="006EA5"/>
                          <w:lang w:val="en-AU" w:bidi="hi-IN"/>
                        </w:rPr>
                        <w:t>ชั้น 16 อาคาร สิทธิวรกิจ เลขที่ 5 ซอยพิพัฒน์</w:t>
                      </w:r>
                      <w:r>
                        <w:rPr>
                          <w:kern w:val="2"/>
                          <w:sz w:val="26"/>
                          <w:szCs w:val="26"/>
                          <w:rFonts w:eastAsia="SimSun" w:ascii="Sarabun" w:hAnsi="Sarabun" w:cs="Sarabun"/>
                          <w:color w:val="006EA5"/>
                          <w:lang w:val="en-AU" w:bidi="hi-IN"/>
                        </w:rPr>
                      </w:r>
                      <w:r>
                        <w:rPr>
                          <w:kern w:val="2"/>
                          <w:sz w:val="26"/>
                          <w:szCs w:val="26"/>
                          <w:rFonts w:eastAsia="SimSun" w:ascii="Sarabun" w:hAnsi="Sarabun" w:cs="Sarabun"/>
                          <w:color w:val="006EA5"/>
                          <w:lang w:val="en-AU" w:bidi="hi-IN"/>
                        </w:rPr>
                        <w:t>แขวงสีลม เขตบางรัก กรุงเทพฯ 10500</w:t>
                      </w:r>
                    </w:p>
                  </w:txbxContent>
                </v:textbox>
                <w10:wrap type="none"/>
                <v:fill o:detectmouseclick="t" on="false"/>
                <v:stroke color="#0369a3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4">
                <wp:simplePos x="0" y="0"/>
                <wp:positionH relativeFrom="column">
                  <wp:posOffset>-186055</wp:posOffset>
                </wp:positionH>
                <wp:positionV relativeFrom="paragraph">
                  <wp:posOffset>9356090</wp:posOffset>
                </wp:positionV>
                <wp:extent cx="1732280" cy="218440"/>
                <wp:effectExtent l="0" t="0" r="0" b="0"/>
                <wp:wrapNone/>
                <wp:docPr id="2" name="Shape3_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00" cy="217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/>
                              <w:ind w:hanging="0"/>
                              <w:rPr/>
                            </w:pPr>
                            <w:r>
                              <w:rPr>
                                <w:kern w:val="2"/>
                                <w:sz w:val="26"/>
                                <w:szCs w:val="26"/>
                                <w:rFonts w:eastAsia="SimSun" w:cs="Mangal" w:ascii="Sarabun" w:hAnsi="Sarabun"/>
                                <w:color w:val="006EA5"/>
                                <w:lang w:val="en-AU" w:bidi="hi-IN"/>
                              </w:rPr>
                              <w:t>Main: +66 2 401 9250</w:t>
                            </w:r>
                          </w:p>
                        </w:txbxContent>
                      </wps:txbx>
                      <wps:bodyPr wrap="square"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_0" stroked="f" style="position:absolute;margin-left:-14.65pt;margin-top:736.7pt;width:136.3pt;height:17.1pt;v-text-anchor:top" type="shapetype_202">
                <v:textbox>
                  <w:txbxContent>
                    <w:p>
                      <w:pPr>
                        <w:spacing w:before="0" w:after="0"/>
                        <w:ind w:hanging="0"/>
                        <w:rPr/>
                      </w:pPr>
                      <w:r>
                        <w:rPr>
                          <w:kern w:val="2"/>
                          <w:sz w:val="26"/>
                          <w:szCs w:val="26"/>
                          <w:rFonts w:eastAsia="SimSun" w:cs="Mangal" w:ascii="Sarabun" w:hAnsi="Sarabun"/>
                          <w:color w:val="006EA5"/>
                          <w:lang w:val="en-AU" w:bidi="hi-IN"/>
                        </w:rPr>
                        <w:t>Main: +66 2 401 9250</w:t>
                      </w:r>
                    </w:p>
                  </w:txbxContent>
                </v:textbox>
                <w10:wrap type="none"/>
                <v:fill o:detectmouseclick="t" on="false"/>
                <v:stroke color="#0369a3" joinstyle="round" endcap="flat"/>
              </v:shape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-718185</wp:posOffset>
            </wp:positionH>
            <wp:positionV relativeFrom="paragraph">
              <wp:posOffset>192405</wp:posOffset>
            </wp:positionV>
            <wp:extent cx="7560310" cy="10692130"/>
            <wp:effectExtent l="0" t="0" r="0" b="0"/>
            <wp:wrapNone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verHeadingCorbel32"/>
        <w:rPr>
          <w:rFonts w:ascii="Sarabun" w:hAnsi="Sarabun" w:cs="Sarabun"/>
          <w:b/>
          <w:b/>
          <w:bCs/>
          <w:sz w:val="52"/>
          <w:szCs w:val="52"/>
        </w:rPr>
      </w:pPr>
      <w:r>
        <w:drawing>
          <wp:anchor behindDoc="1" distT="0" distB="0" distL="0" distR="0" simplePos="0" locked="0" layoutInCell="0" allowOverlap="1" relativeHeight="15">
            <wp:simplePos x="0" y="0"/>
            <wp:positionH relativeFrom="column">
              <wp:posOffset>-600075</wp:posOffset>
            </wp:positionH>
            <wp:positionV relativeFrom="paragraph">
              <wp:posOffset>7846060</wp:posOffset>
            </wp:positionV>
            <wp:extent cx="1570990" cy="670560"/>
            <wp:effectExtent l="0" t="0" r="0" b="0"/>
            <wp:wrapNone/>
            <wp:docPr id="4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-501015</wp:posOffset>
            </wp:positionH>
            <wp:positionV relativeFrom="paragraph">
              <wp:posOffset>8695055</wp:posOffset>
            </wp:positionV>
            <wp:extent cx="203835" cy="203835"/>
            <wp:effectExtent l="0" t="0" r="0" b="0"/>
            <wp:wrapSquare wrapText="largest"/>
            <wp:docPr id="5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rabun" w:hAnsi="Sarabun" w:cs="Sarabun"/>
          <w:b/>
          <w:b/>
          <w:bCs/>
          <w:color w:val="000000"/>
          <w:sz w:val="52"/>
          <w:sz w:val="52"/>
          <w:szCs w:val="52"/>
        </w:rPr>
        <w:t>ต</w:t>
      </w:r>
      <w:r>
        <w:rPr>
          <w:rFonts w:ascii="Sarabun" w:hAnsi="Sarabun" w:cs="Sarabun"/>
          <w:b/>
          <w:b/>
          <w:bCs/>
          <w:color w:val="000000"/>
          <w:sz w:val="52"/>
          <w:sz w:val="52"/>
          <w:szCs w:val="52"/>
        </w:rPr>
        <w:t>ัวอย่างนโยบายการลางานอย่างง่าย</w:t>
      </w:r>
      <w:r>
        <w:rPr>
          <w:rFonts w:cs="Sarabun" w:ascii="Sarabun" w:hAnsi="Sarabun"/>
          <w:b/>
          <w:bCs/>
          <w:color w:val="006EA5"/>
          <w:sz w:val="52"/>
          <w:szCs w:val="52"/>
        </w:rPr>
        <w:br/>
      </w:r>
      <w:r>
        <w:rPr>
          <w:rFonts w:ascii="Sarabun" w:hAnsi="Sarabun" w:cs="Sarabun"/>
          <w:b/>
          <w:b/>
          <w:bCs/>
          <w:color w:val="006EA5"/>
          <w:sz w:val="52"/>
          <w:sz w:val="52"/>
          <w:szCs w:val="52"/>
        </w:rPr>
        <w:t>สำหรับบริษัท</w:t>
      </w:r>
      <w:r>
        <w:rPr>
          <w:rFonts w:ascii="Sarabun" w:hAnsi="Sarabun" w:cs="Sarabun"/>
          <w:b/>
          <w:b/>
          <w:bCs/>
          <w:color w:val="006EA5"/>
          <w:sz w:val="52"/>
          <w:sz w:val="52"/>
          <w:szCs w:val="52"/>
        </w:rPr>
        <w:t>ในไทย</w:t>
      </w:r>
    </w:p>
    <w:p>
      <w:pPr>
        <w:pStyle w:val="Heading1"/>
        <w:pageBreakBefore w:val="false"/>
        <w:widowControl w:val="false"/>
        <w:numPr>
          <w:ilvl w:val="0"/>
          <w:numId w:val="0"/>
        </w:numPr>
        <w:tabs>
          <w:tab w:val="clear" w:pos="720"/>
        </w:tabs>
        <w:suppressAutoHyphens w:val="false"/>
        <w:overflowPunct w:val="false"/>
        <w:spacing w:before="57" w:after="142"/>
        <w:ind w:left="0" w:right="1134" w:hanging="0"/>
        <w:jc w:val="left"/>
        <w:rPr>
          <w:color w:val="0E4694"/>
        </w:rPr>
      </w:pPr>
      <w:r>
        <w:rPr>
          <w:color w:val="0E4694"/>
        </w:rPr>
      </w:r>
    </w:p>
    <w:p>
      <w:pPr>
        <w:pStyle w:val="TextBody"/>
        <w:widowControl w:val="false"/>
        <w:tabs>
          <w:tab w:val="clear" w:pos="720"/>
        </w:tabs>
        <w:suppressAutoHyphens w:val="false"/>
        <w:overflowPunct w:val="false"/>
        <w:spacing w:before="57" w:after="142"/>
        <w:ind w:left="0" w:right="1134" w:hanging="0"/>
        <w:jc w:val="left"/>
        <w:rPr>
          <w:color w:val="0E4694"/>
        </w:rPr>
      </w:pPr>
      <w:r>
        <w:rPr>
          <w:color w:val="0E4694"/>
        </w:rP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-511810</wp:posOffset>
            </wp:positionH>
            <wp:positionV relativeFrom="paragraph">
              <wp:posOffset>7839075</wp:posOffset>
            </wp:positionV>
            <wp:extent cx="173355" cy="224790"/>
            <wp:effectExtent l="0" t="0" r="0" b="0"/>
            <wp:wrapSquare wrapText="largest"/>
            <wp:docPr id="6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22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widowControl w:val="false"/>
        <w:tabs>
          <w:tab w:val="clear" w:pos="720"/>
        </w:tabs>
        <w:suppressAutoHyphens w:val="false"/>
        <w:overflowPunct w:val="false"/>
        <w:spacing w:before="57" w:after="142"/>
        <w:ind w:left="0" w:right="1134" w:hanging="0"/>
        <w:jc w:val="left"/>
        <w:rPr>
          <w:color w:val="0E4694"/>
        </w:rPr>
      </w:pPr>
      <w:r>
        <w:rPr>
          <w:color w:val="0E4694"/>
        </w:rPr>
      </w:r>
    </w:p>
    <w:p>
      <w:pPr>
        <w:pStyle w:val="TextBody"/>
        <w:pageBreakBefore w:val="false"/>
        <w:widowControl w:val="false"/>
        <w:tabs>
          <w:tab w:val="clear" w:pos="720"/>
        </w:tabs>
        <w:suppressAutoHyphens w:val="false"/>
        <w:overflowPunct w:val="false"/>
        <w:spacing w:before="57" w:after="142"/>
        <w:ind w:left="1134" w:right="1134" w:hanging="0"/>
        <w:jc w:val="left"/>
        <w:rPr>
          <w:color w:val="0E4694"/>
        </w:rPr>
      </w:pPr>
      <w:r>
        <w:rPr>
          <w:color w:val="0E4694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59225" cy="2743200"/>
            <wp:effectExtent l="0" t="0" r="0" b="0"/>
            <wp:wrapTopAndBottom/>
            <wp:docPr id="7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Arial16"/>
        <w:rPr/>
      </w:pPr>
      <w:r>
        <w:rPr>
          <w:rStyle w:val="StrongEmphasis"/>
          <w:rFonts w:cs="Sarabun"/>
          <w:b/>
          <w:color w:val="2F5496"/>
        </w:rPr>
        <w:t>ตั</w:t>
      </w:r>
      <w:r>
        <w:rPr>
          <w:rStyle w:val="StrongEmphasis"/>
          <w:rFonts w:cs="Sarabun"/>
          <w:b/>
          <w:color w:val="2F5496"/>
        </w:rPr>
        <w:t>วอย่างนโยบายการลางานอย่างง่าย</w:t>
      </w:r>
      <w:r>
        <w:rPr>
          <w:rStyle w:val="StrongEmphasis"/>
          <w:rFonts w:cs="Sarabun"/>
          <w:b/>
          <w:color w:val="2F5496"/>
        </w:rPr>
        <w:t>สำหรับบริษัทใน</w:t>
      </w:r>
      <w:r>
        <w:rPr>
          <w:rStyle w:val="StrongEmphasis"/>
          <w:rFonts w:cs="Sarabun"/>
          <w:b/>
          <w:color w:val="2F5496"/>
        </w:rPr>
        <w:t>ไทย</w:t>
      </w:r>
    </w:p>
    <w:p>
      <w:pPr>
        <w:pStyle w:val="BodyCalibri12"/>
        <w:rPr/>
      </w:pPr>
      <w:r>
        <w:rPr>
          <w:rFonts w:cs="Sarabun" w:ascii="Sarabun" w:hAnsi="Sarabun"/>
        </w:rPr>
        <w:tab/>
      </w:r>
      <w:r>
        <w:rPr>
          <w:rFonts w:ascii="Sarabun" w:hAnsi="Sarabun" w:cs="Sarabun"/>
        </w:rPr>
        <w:t xml:space="preserve">เอกสารฉบับนี้แสดงแนวทางนโยบายการลางานอย่างง่ายด้วยคำอธิบายที่ครอบคลุมถึงรูปแบบของการลางานของพนักงานสำหรับบริษัทในประเทศไทยซึ่งเป็นการอธิบายโดยย่อ และมีคำอธิบายเพิ่มเติมในประเด็นที่เห็นเป็นประโยชน์ โดยสามารถพิมพ์เอกสารนี้ หรือปรับเปลี่ยนเพิ่มเติมให้เหมาะสมกับข้อบังคับของบริษัทของคุณ และพิมพ์ใหม่ </w:t>
      </w:r>
      <w:r>
        <w:rPr>
          <w:rFonts w:cs="Sarabun" w:ascii="Sarabun" w:hAnsi="Sarabun"/>
        </w:rPr>
        <w:t>(</w:t>
      </w:r>
      <w:r>
        <w:rPr>
          <w:rFonts w:ascii="Sarabun" w:hAnsi="Sarabun" w:cs="Sarabun"/>
        </w:rPr>
        <w:t>เป็นภาษาไทย</w:t>
      </w:r>
      <w:r>
        <w:rPr>
          <w:rFonts w:cs="Sarabun" w:ascii="Sarabun" w:hAnsi="Sarabun"/>
        </w:rPr>
        <w:t xml:space="preserve">) </w:t>
      </w:r>
      <w:r>
        <w:rPr>
          <w:rFonts w:ascii="Sarabun" w:hAnsi="Sarabun" w:cs="Sarabun"/>
        </w:rPr>
        <w:t>เพื่อเป็นส่วนหนึ่งของ</w:t>
      </w:r>
      <w:r>
        <w:rPr>
          <w:rStyle w:val="Emphasis"/>
          <w:rFonts w:ascii="Sarabun" w:hAnsi="Sarabun" w:cs="Sarabun"/>
        </w:rPr>
        <w:t>ระเบียบการทำงาน</w:t>
      </w:r>
      <w:r>
        <w:rPr>
          <w:rFonts w:ascii="Sarabun" w:hAnsi="Sarabun" w:cs="Sarabun"/>
        </w:rPr>
        <w:t>ของบริษัทของคุณ</w:t>
      </w:r>
    </w:p>
    <w:p>
      <w:pPr>
        <w:pStyle w:val="BodyCalibri12"/>
        <w:rPr>
          <w:rFonts w:ascii="Sarabun" w:hAnsi="Sarabun" w:cs="Sarabun"/>
        </w:rPr>
      </w:pPr>
      <w:r>
        <w:rPr>
          <w:rFonts w:cs="Sarabun" w:ascii="Sarabun" w:hAnsi="Sarabun"/>
        </w:rPr>
        <w:tab/>
      </w:r>
      <w:r>
        <w:rPr>
          <w:rFonts w:ascii="Sarabun" w:hAnsi="Sarabun" w:cs="Sarabun"/>
        </w:rPr>
        <w:t>การเตรียมระเบียบการลาที่ดี จะทำให้แผนกบุลคลมีแนวทางในการบริหารและจัดการกับความเสี่ยงโดยการร่วมมือกับนายจ้างได้อย่างมีประสิทธิภาพ และรวมไปถึงการสิ้นสุดการจ้างงานของพนักงานด้วย</w:t>
      </w:r>
    </w:p>
    <w:p>
      <w:pPr>
        <w:pStyle w:val="BodyCalibri12"/>
        <w:rPr>
          <w:rFonts w:ascii="Sarabun" w:hAnsi="Sarabun" w:cs="Sarabun"/>
        </w:rPr>
      </w:pPr>
      <w:r>
        <w:rPr>
          <w:rFonts w:cs="Sarabun" w:ascii="Sarabun" w:hAnsi="Sarabun"/>
        </w:rPr>
        <w:tab/>
      </w:r>
      <w:r>
        <w:rPr>
          <w:rFonts w:ascii="Sarabun" w:hAnsi="Sarabun" w:cs="Sarabun"/>
        </w:rPr>
        <w:t xml:space="preserve">เอกสารฉบับนี้จัดทำขึ้นเพื่อช่วยบริษัทในการตัดสินใจเกี่ยวกับข้อบังคับการลางาน ดังนั้นเนื้อหาในเอกสารนี้จึงจัดทำเพื่อประโยชน์ในการเสนอแนวทางเท่านั้น โปรดติดต่อรับบริการจากผู้เชี่ยวชาญการบริหารงานบุคคล </w:t>
      </w:r>
      <w:r>
        <w:rPr>
          <w:rFonts w:cs="Sarabun" w:ascii="Sarabun" w:hAnsi="Sarabun"/>
        </w:rPr>
        <w:br/>
      </w:r>
      <w:r>
        <w:rPr>
          <w:rFonts w:ascii="Sarabun" w:hAnsi="Sarabun" w:cs="Sarabun"/>
        </w:rPr>
        <w:t>หากต้องการความช่วยเหลือจากผู้เชี่ยวชาญ</w:t>
      </w:r>
    </w:p>
    <w:tbl>
      <w:tblPr>
        <w:tblW w:w="10772" w:type="dxa"/>
        <w:jc w:val="left"/>
        <w:tblInd w:w="-120" w:type="dxa"/>
        <w:tblLayout w:type="fixed"/>
        <w:tblCellMar>
          <w:top w:w="57" w:type="dxa"/>
          <w:left w:w="57" w:type="dxa"/>
          <w:bottom w:w="57" w:type="dxa"/>
          <w:right w:w="57" w:type="dxa"/>
        </w:tblCellMar>
      </w:tblPr>
      <w:tblGrid>
        <w:gridCol w:w="2045"/>
        <w:gridCol w:w="8727"/>
      </w:tblGrid>
      <w:tr>
        <w:trPr/>
        <w:tc>
          <w:tcPr>
            <w:tcW w:w="2045" w:type="dxa"/>
            <w:tcBorders>
              <w:top w:val="single" w:sz="6" w:space="0" w:color="0E4694"/>
              <w:left w:val="single" w:sz="6" w:space="0" w:color="0E4694"/>
              <w:bottom w:val="single" w:sz="6" w:space="0" w:color="0E4694"/>
            </w:tcBorders>
            <w:vAlign w:val="center"/>
          </w:tcPr>
          <w:p>
            <w:pPr>
              <w:pStyle w:val="TableContents"/>
              <w:widowControl w:val="false"/>
              <w:spacing w:before="170" w:after="113"/>
              <w:rPr/>
            </w:pPr>
            <w:r>
              <w:rPr/>
              <w:drawing>
                <wp:anchor behindDoc="0" distT="0" distB="0" distL="0" distR="0" simplePos="0" locked="0" layoutInCell="0" allowOverlap="1" relativeHeight="13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47625</wp:posOffset>
                  </wp:positionV>
                  <wp:extent cx="744855" cy="737235"/>
                  <wp:effectExtent l="0" t="0" r="0" b="0"/>
                  <wp:wrapSquare wrapText="bothSides"/>
                  <wp:docPr id="8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 xml:space="preserve"> </w:t>
            </w:r>
          </w:p>
        </w:tc>
        <w:tc>
          <w:tcPr>
            <w:tcW w:w="8727" w:type="dxa"/>
            <w:tcBorders>
              <w:top w:val="single" w:sz="6" w:space="0" w:color="0E4694"/>
              <w:bottom w:val="single" w:sz="6" w:space="0" w:color="0E4694"/>
              <w:right w:val="single" w:sz="6" w:space="0" w:color="0E4694"/>
            </w:tcBorders>
            <w:vAlign w:val="center"/>
          </w:tcPr>
          <w:p>
            <w:pPr>
              <w:pStyle w:val="TableContents"/>
              <w:widowControl w:val="false"/>
              <w:spacing w:before="170" w:after="113"/>
              <w:rPr/>
            </w:pPr>
            <w:r>
              <w:rPr>
                <w:rFonts w:ascii="Sarabun" w:hAnsi="Sarabun" w:cs="Sarabun"/>
                <w:color w:val="355269"/>
              </w:rPr>
              <w:t xml:space="preserve">คุณสามารถเยี่ยมชมเว็บไซต์ของเราได้ที่ </w:t>
            </w:r>
            <w:hyperlink r:id="rId8">
              <w:r>
                <w:rPr>
                  <w:rStyle w:val="InternetLink"/>
                  <w:rFonts w:cs="Sarabun" w:ascii="Sarabun" w:hAnsi="Sarabun"/>
                  <w:u w:val="single"/>
                </w:rPr>
                <w:t>http://www.gainplus.asia/totem</w:t>
              </w:r>
            </w:hyperlink>
            <w:r>
              <w:rPr>
                <w:rFonts w:cs="Sarabun" w:ascii="Sarabun" w:hAnsi="Sarabun"/>
                <w:color w:val="355269"/>
              </w:rPr>
              <w:t xml:space="preserve"> </w:t>
            </w:r>
            <w:r>
              <w:rPr>
                <w:rFonts w:ascii="Sarabun" w:hAnsi="Sarabun" w:cs="Sarabun"/>
                <w:color w:val="355269"/>
              </w:rPr>
              <w:t xml:space="preserve">ซึ่งมีข้อมูลที่อัพเดทเกี่ยวกับการบริหารการลางาน รวมทั้งวิธีการที่จะทำให้ความปวดหัวเรื่องการบริหารการลางานหมดไป ด้วยการย้ายข้อมูลทั้งหมดไปไว้ที่ </w:t>
            </w:r>
            <w:r>
              <w:rPr>
                <w:rFonts w:cs="Sarabun" w:ascii="Sarabun" w:hAnsi="Sarabun"/>
                <w:color w:val="355269"/>
              </w:rPr>
              <w:t xml:space="preserve">cloud </w:t>
            </w:r>
            <w:r>
              <w:rPr>
                <w:rFonts w:ascii="Sarabun" w:hAnsi="Sarabun" w:cs="Sarabun"/>
                <w:color w:val="355269"/>
              </w:rPr>
              <w:t xml:space="preserve">โดยจ่ายค่าบริการรายปี ซึ่งจะมาพร้อมกับรายงานต่างๆที่ครบถ้วน รายการเตือนความจำ </w:t>
            </w:r>
            <w:r>
              <w:rPr>
                <w:rFonts w:cs="Sarabun" w:ascii="Sarabun" w:hAnsi="Sarabun"/>
                <w:color w:val="355269"/>
              </w:rPr>
              <w:t xml:space="preserve">(reminders) </w:t>
            </w:r>
            <w:r>
              <w:rPr>
                <w:rFonts w:ascii="Sarabun" w:hAnsi="Sarabun" w:cs="Sarabun"/>
                <w:color w:val="355269"/>
              </w:rPr>
              <w:t>และแอพพลิเคชั่นบนสมาร์ทโฟน</w:t>
            </w:r>
          </w:p>
        </w:tc>
      </w:tr>
    </w:tbl>
    <w:p>
      <w:pPr>
        <w:pStyle w:val="Heading1"/>
        <w:widowControl w:val="false"/>
        <w:numPr>
          <w:ilvl w:val="0"/>
          <w:numId w:val="0"/>
        </w:numPr>
        <w:suppressAutoHyphens w:val="true"/>
        <w:ind w:left="0" w:right="0" w:hanging="0"/>
        <w:jc w:val="center"/>
        <w:rPr>
          <w:color w:val="0E4694"/>
        </w:rPr>
      </w:pPr>
      <w:r>
        <w:rPr>
          <w:color w:val="0E4694"/>
        </w:rPr>
      </w:r>
      <w:r>
        <w:br w:type="page"/>
      </w:r>
    </w:p>
    <w:p>
      <w:pPr>
        <w:pStyle w:val="HeadingArial16"/>
        <w:keepNext w:val="false"/>
        <w:rPr/>
      </w:pPr>
      <w:r>
        <w:rPr>
          <w:rStyle w:val="StrongEmphasis"/>
          <w:rFonts w:ascii="Sarabun" w:hAnsi="Sarabun" w:cs="Sarabun"/>
          <w:b/>
        </w:rPr>
        <w:t>นโยบายการลางาน</w:t>
      </w:r>
    </w:p>
    <w:p>
      <w:pPr>
        <w:pStyle w:val="HeadingArial13"/>
        <w:rPr/>
      </w:pPr>
      <w:r>
        <w:rPr>
          <w:rStyle w:val="StrongEmphasis"/>
          <w:rFonts w:ascii="Sarabun" w:hAnsi="Sarabun" w:cs="Sarabun"/>
          <w:b/>
        </w:rPr>
        <w:t>ลาพักร้อน</w:t>
      </w:r>
    </w:p>
    <w:p>
      <w:pPr>
        <w:pStyle w:val="ListContents"/>
        <w:numPr>
          <w:ilvl w:val="1"/>
          <w:numId w:val="2"/>
        </w:numPr>
        <w:spacing w:lineRule="exact" w:line="288"/>
        <w:rPr>
          <w:rFonts w:ascii="Sarabun" w:hAnsi="Sarabun" w:cs="Sarabun"/>
        </w:rPr>
      </w:pPr>
      <w:r>
        <w:rPr>
          <w:rFonts w:ascii="Sarabun" w:hAnsi="Sarabun" w:cs="Sarabun"/>
        </w:rPr>
        <w:t>พนักงานทุกคนมีสิทธิท</w:t>
      </w:r>
      <w:r>
        <w:rPr>
          <w:rFonts w:ascii="Sarabun" w:hAnsi="Sarabun" w:cs="Sarabun"/>
        </w:rPr>
        <w:t>ี่</w:t>
      </w:r>
      <w:r>
        <w:rPr>
          <w:rFonts w:ascii="Sarabun" w:hAnsi="Sarabun" w:cs="Sarabun"/>
        </w:rPr>
        <w:t xml:space="preserve">จะได้รับวันลาพักร้อน </w:t>
      </w:r>
    </w:p>
    <w:p>
      <w:pPr>
        <w:pStyle w:val="ListContents"/>
        <w:numPr>
          <w:ilvl w:val="1"/>
          <w:numId w:val="2"/>
        </w:numPr>
        <w:spacing w:lineRule="exact" w:line="288"/>
        <w:rPr>
          <w:rFonts w:ascii="Sarabun" w:hAnsi="Sarabun" w:cs="Sarabun"/>
        </w:rPr>
      </w:pPr>
      <w:r>
        <w:rPr>
          <w:rFonts w:ascii="Sarabun" w:hAnsi="Sarabun" w:cs="Sarabun"/>
        </w:rPr>
        <w:t>วันลาพักร้อน</w:t>
      </w:r>
      <w:r>
        <w:rPr>
          <w:rFonts w:ascii="Sarabun" w:hAnsi="Sarabun" w:cs="Sarabun"/>
        </w:rPr>
        <w:t>เริ่</w:t>
      </w:r>
      <w:r>
        <w:rPr>
          <w:rFonts w:ascii="Sarabun" w:hAnsi="Sarabun" w:cs="Sarabun"/>
        </w:rPr>
        <w:t>มสะสมต</w:t>
      </w:r>
      <w:r>
        <w:rPr>
          <w:rFonts w:ascii="Sarabun" w:hAnsi="Sarabun" w:cs="Sarabun"/>
        </w:rPr>
        <w:t>ั้</w:t>
      </w:r>
      <w:r>
        <w:rPr>
          <w:rFonts w:ascii="Sarabun" w:hAnsi="Sarabun" w:cs="Sarabun"/>
        </w:rPr>
        <w:t xml:space="preserve">งแต่วันที่พนักงานเข้าร่วมมาเป็นส่วนหนึ่งของบริษัท </w:t>
      </w:r>
    </w:p>
    <w:p>
      <w:pPr>
        <w:pStyle w:val="ListContents"/>
        <w:numPr>
          <w:ilvl w:val="1"/>
          <w:numId w:val="2"/>
        </w:numPr>
        <w:spacing w:lineRule="exact" w:line="288"/>
        <w:rPr>
          <w:rFonts w:ascii="Sarabun" w:hAnsi="Sarabun" w:cs="Sarabun"/>
        </w:rPr>
      </w:pPr>
      <w:r>
        <w:rPr>
          <w:rFonts w:ascii="Sarabun" w:hAnsi="Sarabun" w:cs="Sarabun"/>
        </w:rPr>
        <w:t>พนักงานไม่สามารถลาพักร้อนได้ หากอยู่ในช่วงทดลองงาน</w:t>
      </w:r>
    </w:p>
    <w:p>
      <w:pPr>
        <w:pStyle w:val="ListContents"/>
        <w:numPr>
          <w:ilvl w:val="1"/>
          <w:numId w:val="2"/>
        </w:numPr>
        <w:spacing w:lineRule="auto" w:line="276"/>
        <w:rPr>
          <w:rFonts w:ascii="Sarabun" w:hAnsi="Sarabun" w:cs="Sarabun"/>
        </w:rPr>
      </w:pPr>
      <w:r>
        <w:rPr>
          <w:rFonts w:ascii="Sarabun" w:hAnsi="Sarabun" w:cs="Sarabun"/>
        </w:rPr>
        <w:t xml:space="preserve">พนักงานได้รับวันลาพักร้อนทั้งหมด </w:t>
      </w:r>
      <w:r>
        <w:rPr>
          <w:rFonts w:cs="Sarabun" w:ascii="Sarabun" w:hAnsi="Sarabun"/>
        </w:rPr>
        <w:t xml:space="preserve">7 </w:t>
      </w:r>
      <w:r>
        <w:rPr>
          <w:rFonts w:ascii="Sarabun" w:hAnsi="Sarabun" w:cs="Sarabun"/>
        </w:rPr>
        <w:t xml:space="preserve">วันต่อปี สำหรับ </w:t>
      </w:r>
      <w:r>
        <w:rPr>
          <w:rFonts w:cs="Sarabun" w:ascii="Sarabun" w:hAnsi="Sarabun"/>
        </w:rPr>
        <w:t>5</w:t>
      </w:r>
      <w:r>
        <w:rPr>
          <w:rFonts w:ascii="Sarabun" w:hAnsi="Sarabun" w:cs="Sarabun"/>
        </w:rPr>
        <w:t xml:space="preserve">ปีแรกของการทำงาน </w:t>
      </w:r>
      <w:r>
        <w:rPr>
          <w:rFonts w:cs="Sarabun" w:ascii="Sarabun" w:hAnsi="Sarabun"/>
        </w:rPr>
        <w:t>(</w:t>
      </w:r>
      <w:r>
        <w:rPr>
          <w:rFonts w:ascii="Sarabun" w:hAnsi="Sarabun" w:cs="Sarabun"/>
        </w:rPr>
        <w:t xml:space="preserve">หากเข้าทำงานไม่ครบ </w:t>
      </w:r>
      <w:r>
        <w:rPr>
          <w:rFonts w:cs="Sarabun" w:ascii="Sarabun" w:hAnsi="Sarabun"/>
        </w:rPr>
        <w:t xml:space="preserve">1 </w:t>
      </w:r>
      <w:r>
        <w:rPr>
          <w:rFonts w:ascii="Sarabun" w:hAnsi="Sarabun" w:cs="Sarabun"/>
        </w:rPr>
        <w:t>ปีจะลดหลั่นตามสัดส่วนไป</w:t>
      </w:r>
      <w:r>
        <w:rPr>
          <w:rFonts w:cs="Sarabun" w:ascii="Sarabun" w:hAnsi="Sarabun"/>
        </w:rPr>
        <w:t xml:space="preserve">) </w:t>
      </w:r>
    </w:p>
    <w:p>
      <w:pPr>
        <w:pStyle w:val="ListContents"/>
        <w:numPr>
          <w:ilvl w:val="1"/>
          <w:numId w:val="2"/>
        </w:numPr>
        <w:spacing w:lineRule="auto" w:line="276"/>
        <w:rPr>
          <w:rFonts w:ascii="Sarabun" w:hAnsi="Sarabun" w:cs="Sarabun"/>
        </w:rPr>
      </w:pPr>
      <w:r>
        <w:rPr>
          <w:rFonts w:ascii="Sarabun" w:hAnsi="Sarabun" w:cs="Sarabun"/>
        </w:rPr>
        <w:t xml:space="preserve">เมื่อคำนวณระยะเวลาการทำงาน ต้องใช้วันเริ่มต้นของพนักงานในการคำนวณระยะเวลาของการทำงาน หากมีการเปลี่ยนแปลงสิทธิที่พึงได้ในระหว่างปีหนึ่งๆ การคำนวณวันลาจะเป็นสัดส่วนตามระยะเวลาการทำงาน โดยใช้วันเริ่มต้นการทำงานเป็นตัวชี้ให้เห็นถึงสิทธิสำหรับปีนั้น </w:t>
      </w:r>
    </w:p>
    <w:p>
      <w:pPr>
        <w:pStyle w:val="ListContents"/>
        <w:numPr>
          <w:ilvl w:val="1"/>
          <w:numId w:val="2"/>
        </w:numPr>
        <w:spacing w:lineRule="exact" w:line="288"/>
        <w:rPr>
          <w:rFonts w:ascii="Sarabun" w:hAnsi="Sarabun" w:cs="Sarabun"/>
        </w:rPr>
      </w:pPr>
      <w:r>
        <w:rPr>
          <w:rFonts w:ascii="Sarabun" w:hAnsi="Sarabun" w:cs="Sarabun"/>
        </w:rPr>
        <w:t xml:space="preserve">พนักงานที่ทำงานระหว่าง </w:t>
      </w:r>
      <w:r>
        <w:rPr>
          <w:rFonts w:cs="Sarabun" w:ascii="Sarabun" w:hAnsi="Sarabun"/>
        </w:rPr>
        <w:t>6</w:t>
      </w:r>
      <w:r>
        <w:rPr>
          <w:rFonts w:ascii="Sarabun" w:hAnsi="Sarabun" w:cs="Sarabun"/>
        </w:rPr>
        <w:t xml:space="preserve">ถึง </w:t>
      </w:r>
      <w:r>
        <w:rPr>
          <w:rFonts w:cs="Sarabun" w:ascii="Sarabun" w:hAnsi="Sarabun"/>
        </w:rPr>
        <w:t>10</w:t>
      </w:r>
      <w:r>
        <w:rPr>
          <w:rFonts w:ascii="Sarabun" w:hAnsi="Sarabun" w:cs="Sarabun"/>
        </w:rPr>
        <w:t xml:space="preserve">ปีที่บริษัท จะได้รับวันลาพักร้อนทั้งหมด </w:t>
      </w:r>
      <w:r>
        <w:rPr>
          <w:rFonts w:cs="Sarabun" w:ascii="Sarabun" w:hAnsi="Sarabun"/>
        </w:rPr>
        <w:t>12</w:t>
      </w:r>
      <w:r>
        <w:rPr>
          <w:rFonts w:ascii="Sarabun" w:hAnsi="Sarabun" w:cs="Sarabun"/>
        </w:rPr>
        <w:t xml:space="preserve">วัน </w:t>
      </w:r>
    </w:p>
    <w:p>
      <w:pPr>
        <w:pStyle w:val="ListContents"/>
        <w:numPr>
          <w:ilvl w:val="1"/>
          <w:numId w:val="2"/>
        </w:numPr>
        <w:spacing w:lineRule="exact" w:line="288"/>
        <w:rPr>
          <w:rFonts w:ascii="Sarabun" w:hAnsi="Sarabun" w:cs="Sarabun"/>
        </w:rPr>
      </w:pPr>
      <w:r>
        <w:rPr>
          <w:rFonts w:ascii="Sarabun" w:hAnsi="Sarabun" w:cs="Sarabun"/>
        </w:rPr>
        <w:t xml:space="preserve">พนักงานที่ทำงานมากกว่า </w:t>
      </w:r>
      <w:r>
        <w:rPr>
          <w:rFonts w:cs="Sarabun" w:ascii="Sarabun" w:hAnsi="Sarabun"/>
        </w:rPr>
        <w:t>11</w:t>
      </w:r>
      <w:r>
        <w:rPr>
          <w:rFonts w:ascii="Sarabun" w:hAnsi="Sarabun" w:cs="Sarabun"/>
        </w:rPr>
        <w:t xml:space="preserve">ปีที่บริษัท จะได้รับวันลาพักร้อนทั้งหมด </w:t>
      </w:r>
      <w:r>
        <w:rPr>
          <w:rFonts w:cs="Sarabun" w:ascii="Sarabun" w:hAnsi="Sarabun"/>
        </w:rPr>
        <w:t>15</w:t>
      </w:r>
      <w:r>
        <w:rPr>
          <w:rFonts w:ascii="Sarabun" w:hAnsi="Sarabun" w:cs="Sarabun"/>
        </w:rPr>
        <w:t xml:space="preserve">วัน </w:t>
      </w:r>
    </w:p>
    <w:p>
      <w:pPr>
        <w:pStyle w:val="ListContents"/>
        <w:numPr>
          <w:ilvl w:val="1"/>
          <w:numId w:val="2"/>
        </w:numPr>
        <w:spacing w:lineRule="auto" w:line="276"/>
        <w:rPr>
          <w:rFonts w:ascii="Sarabun" w:hAnsi="Sarabun" w:cs="Sarabun"/>
        </w:rPr>
      </w:pPr>
      <w:r>
        <w:rPr>
          <w:rFonts w:ascii="Sarabun" w:hAnsi="Sarabun" w:cs="Sarabun"/>
        </w:rPr>
        <w:t xml:space="preserve">พนักงานสามารถขอทบวันลาพักร้อนไปยังปีถัดไป โดยผู้จัดการของพนักงานนั้น สามารถอนุญาตให้ทบวันลาพักร้อนได้ไม่เกิน </w:t>
      </w:r>
      <w:r>
        <w:rPr>
          <w:rFonts w:cs="Sarabun" w:ascii="Sarabun" w:hAnsi="Sarabun"/>
        </w:rPr>
        <w:t xml:space="preserve">30 </w:t>
      </w:r>
      <w:r>
        <w:rPr>
          <w:rFonts w:ascii="Sarabun" w:hAnsi="Sarabun" w:cs="Sarabun"/>
        </w:rPr>
        <w:t xml:space="preserve">เปอร์เซ็นต์ ของวันลาพักร้อนต่อปีของพนักงาน วันลาพักร้อนที่ทบมาจากปีก่อนจะต้องใช้ภายใน </w:t>
      </w:r>
      <w:r>
        <w:rPr>
          <w:rFonts w:cs="Sarabun" w:ascii="Sarabun" w:hAnsi="Sarabun"/>
        </w:rPr>
        <w:t>3</w:t>
      </w:r>
      <w:r>
        <w:rPr>
          <w:rFonts w:ascii="Sarabun" w:hAnsi="Sarabun" w:cs="Sarabun"/>
        </w:rPr>
        <w:t xml:space="preserve">เดือนแรกของปีถัดไป </w:t>
      </w:r>
    </w:p>
    <w:p>
      <w:pPr>
        <w:pStyle w:val="ListContents"/>
        <w:numPr>
          <w:ilvl w:val="1"/>
          <w:numId w:val="2"/>
        </w:numPr>
        <w:spacing w:lineRule="auto" w:line="276"/>
        <w:rPr>
          <w:rFonts w:ascii="Sarabun" w:hAnsi="Sarabun" w:cs="Sarabun"/>
        </w:rPr>
      </w:pPr>
      <w:r>
        <w:rPr>
          <w:rFonts w:ascii="Sarabun" w:hAnsi="Sarabun" w:cs="Sarabun"/>
        </w:rPr>
        <w:t>หากพนักงานไม่ใช้วันลา ผู้จัดการสามารถตัดสินใจที่จะให้พนักงานลาหยุด หรือจ่ายพนักงานสำหรับวันลาพักร้อนที่ไม่ได้ใช้</w:t>
      </w:r>
      <w:r>
        <w:rPr>
          <w:rStyle w:val="FootnoteAnchor"/>
          <w:rFonts w:ascii="Sarabun" w:hAnsi="Sarabun" w:cs="Sarabun"/>
        </w:rPr>
        <w:footnoteReference w:id="2"/>
      </w:r>
    </w:p>
    <w:p>
      <w:pPr>
        <w:pStyle w:val="ListContents"/>
        <w:numPr>
          <w:ilvl w:val="1"/>
          <w:numId w:val="2"/>
        </w:numPr>
        <w:spacing w:lineRule="exact" w:line="288"/>
        <w:rPr>
          <w:rFonts w:ascii="Sarabun" w:hAnsi="Sarabun" w:cs="Sarabun"/>
        </w:rPr>
      </w:pPr>
      <w:r>
        <w:rPr>
          <w:rFonts w:ascii="Sarabun" w:hAnsi="Sarabun" w:cs="Sarabun"/>
        </w:rPr>
        <w:t>การคำนวณวันลาพักร้อนนั้น เป็นการคำนวณแบบเต็มทั้งปี โดยเริ่มจากต้นปี</w:t>
      </w:r>
      <w:r>
        <w:rPr>
          <w:rStyle w:val="FootnoteAnchor"/>
          <w:rFonts w:ascii="Sarabun" w:hAnsi="Sarabun" w:cs="Sarabun"/>
        </w:rPr>
        <w:footnoteReference w:id="3"/>
      </w:r>
      <w:r>
        <w:br w:type="page"/>
      </w:r>
    </w:p>
    <w:p>
      <w:pPr>
        <w:pStyle w:val="HeadingArial13"/>
        <w:outlineLvl w:val="2"/>
        <w:rPr>
          <w:rFonts w:ascii="Sarabun" w:hAnsi="Sarabun" w:cs="Sarabun"/>
        </w:rPr>
      </w:pPr>
      <w:r>
        <w:rPr>
          <w:rFonts w:ascii="Sarabun" w:hAnsi="Sarabun" w:cs="Sarabun"/>
        </w:rPr>
        <w:t>ลาป่วย</w:t>
      </w:r>
    </w:p>
    <w:p>
      <w:pPr>
        <w:pStyle w:val="ListContents"/>
        <w:numPr>
          <w:ilvl w:val="1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>พนักงานทุกคนมีสิทธิที่จะได้รับวันลาป่วย</w:t>
      </w:r>
    </w:p>
    <w:p>
      <w:pPr>
        <w:pStyle w:val="ListContents"/>
        <w:numPr>
          <w:ilvl w:val="1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>วันลาป่วยเริ่มสะสมตั้งแต่วันที่พนักงานเข้าร่วมมาเป็นส่วนหนึ่งของบริษัท</w:t>
      </w:r>
    </w:p>
    <w:p>
      <w:pPr>
        <w:pStyle w:val="ListContents"/>
        <w:numPr>
          <w:ilvl w:val="1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 xml:space="preserve">พนักงานได้รับวันลาป่วยทั้งหมด </w:t>
      </w:r>
      <w:r>
        <w:rPr>
          <w:rFonts w:cs="Sarabun" w:ascii="Sarabun" w:hAnsi="Sarabun"/>
        </w:rPr>
        <w:t xml:space="preserve">30 </w:t>
      </w:r>
      <w:r>
        <w:rPr>
          <w:rFonts w:ascii="Sarabun" w:hAnsi="Sarabun" w:cs="Sarabun"/>
        </w:rPr>
        <w:t>วันต่อปี</w:t>
      </w:r>
    </w:p>
    <w:p>
      <w:pPr>
        <w:pStyle w:val="ListContents"/>
        <w:numPr>
          <w:ilvl w:val="1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>เมื่อลาป่วยพนักงานต้องระบุเหตุผล</w:t>
      </w:r>
    </w:p>
    <w:p>
      <w:pPr>
        <w:pStyle w:val="ListContents"/>
        <w:numPr>
          <w:ilvl w:val="1"/>
          <w:numId w:val="2"/>
        </w:numPr>
        <w:spacing w:lineRule="auto" w:line="276"/>
        <w:rPr>
          <w:rFonts w:ascii="Sarabun" w:hAnsi="Sarabun" w:cs="Sarabun"/>
        </w:rPr>
      </w:pPr>
      <w:r>
        <w:rPr>
          <w:rFonts w:ascii="Sarabun" w:hAnsi="Sarabun" w:cs="Sarabun"/>
        </w:rPr>
        <w:t xml:space="preserve">หากลาป่วยติดต่อกัน </w:t>
      </w:r>
      <w:r>
        <w:rPr>
          <w:rFonts w:cs="Sarabun" w:ascii="Sarabun" w:hAnsi="Sarabun"/>
        </w:rPr>
        <w:t xml:space="preserve">2 </w:t>
      </w:r>
      <w:r>
        <w:rPr>
          <w:rFonts w:ascii="Sarabun" w:hAnsi="Sarabun" w:cs="Sarabun"/>
        </w:rPr>
        <w:t>วันหรือมากกว่านั้น พนักงานต้องแสดงใบรับรองแพทย์จากโรงพยาบาล</w:t>
      </w:r>
      <w:r>
        <w:rPr>
          <w:rFonts w:cs="Sarabun" w:ascii="Sarabun" w:hAnsi="Sarabun"/>
        </w:rPr>
        <w:br/>
      </w:r>
      <w:r>
        <w:rPr>
          <w:rFonts w:ascii="Sarabun" w:hAnsi="Sarabun" w:cs="Sarabun"/>
        </w:rPr>
        <w:t>ที่ได้รับการยอมรับ</w:t>
      </w:r>
    </w:p>
    <w:p>
      <w:pPr>
        <w:pStyle w:val="ListContents"/>
        <w:numPr>
          <w:ilvl w:val="1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>การคำนวณวันลาป่วย เริ่มคำนวณใหม่ตอนต้นปี</w:t>
      </w:r>
    </w:p>
    <w:p>
      <w:pPr>
        <w:pStyle w:val="ListContents"/>
        <w:numPr>
          <w:ilvl w:val="1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>วันลาป่วยที่ไม่ได้ใช้ ไม่สามารถทบไปยังปีถัดไปได้</w:t>
      </w:r>
    </w:p>
    <w:p>
      <w:pPr>
        <w:pStyle w:val="ListContents"/>
        <w:numPr>
          <w:ilvl w:val="1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>พนักงานที่กำลังทดลองงาน สามารถลาป่วยได้</w:t>
      </w:r>
    </w:p>
    <w:p>
      <w:pPr>
        <w:pStyle w:val="HeadingArial13"/>
        <w:outlineLvl w:val="2"/>
        <w:rPr>
          <w:rFonts w:ascii="Sarabun" w:hAnsi="Sarabun" w:cs="Sarabun"/>
        </w:rPr>
      </w:pPr>
      <w:r>
        <w:rPr>
          <w:rFonts w:ascii="Sarabun" w:hAnsi="Sarabun" w:cs="Sarabun"/>
        </w:rPr>
        <w:t>ลาคลอด</w:t>
      </w:r>
    </w:p>
    <w:p>
      <w:pPr>
        <w:pStyle w:val="ListContents"/>
        <w:numPr>
          <w:ilvl w:val="1"/>
          <w:numId w:val="4"/>
        </w:numPr>
        <w:rPr>
          <w:rFonts w:ascii="Sarabun" w:hAnsi="Sarabun" w:cs="Sarabun"/>
        </w:rPr>
      </w:pPr>
      <w:r>
        <w:rPr>
          <w:rFonts w:ascii="Sarabun" w:hAnsi="Sarabun" w:cs="Sarabun"/>
        </w:rPr>
        <w:t>พนักงานที่กำลังตั้งครรภ์มีสิทธิที่จะลาคลอดได้</w:t>
      </w:r>
    </w:p>
    <w:p>
      <w:pPr>
        <w:pStyle w:val="ListContents"/>
        <w:numPr>
          <w:ilvl w:val="1"/>
          <w:numId w:val="4"/>
        </w:numPr>
        <w:rPr>
          <w:rFonts w:ascii="Sarabun" w:hAnsi="Sarabun" w:cs="Sarabun"/>
        </w:rPr>
      </w:pPr>
      <w:r>
        <w:rPr>
          <w:rFonts w:ascii="Sarabun" w:hAnsi="Sarabun" w:cs="Sarabun"/>
        </w:rPr>
        <w:t>พนักงานมีสิทธิในการลาคลอด ตั้งแต่วันที่พนักงานเข้าร่วมมาเป็นส่วนหนึ่งของบริษั</w:t>
      </w:r>
      <w:r>
        <w:rPr>
          <w:rFonts w:ascii="Sarabun" w:hAnsi="Sarabun" w:cs="Sarabun"/>
        </w:rPr>
        <w:t>ท</w:t>
      </w:r>
    </w:p>
    <w:p>
      <w:pPr>
        <w:pStyle w:val="ListContents"/>
        <w:numPr>
          <w:ilvl w:val="1"/>
          <w:numId w:val="4"/>
        </w:numPr>
        <w:rPr>
          <w:rFonts w:ascii="Sarabun" w:hAnsi="Sarabun" w:cs="Sarabun"/>
        </w:rPr>
      </w:pPr>
      <w:r>
        <w:rPr>
          <w:rFonts w:ascii="Sarabun" w:hAnsi="Sarabun" w:cs="Sarabun"/>
        </w:rPr>
        <w:t xml:space="preserve">พนักงานมีสิทธิที่จะลาคลอดได้ </w:t>
      </w:r>
      <w:r>
        <w:rPr>
          <w:rFonts w:cs="Sarabun" w:ascii="Sarabun" w:hAnsi="Sarabun"/>
        </w:rPr>
        <w:t>98</w:t>
      </w:r>
      <w:r>
        <w:rPr>
          <w:rStyle w:val="FootnoteAnchor"/>
          <w:rFonts w:cs="Sarabun" w:ascii="Sarabun" w:hAnsi="Sarabun"/>
        </w:rPr>
        <w:footnoteReference w:id="4"/>
      </w:r>
      <w:r>
        <w:rPr>
          <w:rFonts w:cs="Sarabun" w:ascii="Sarabun" w:hAnsi="Sarabun"/>
        </w:rPr>
        <w:t xml:space="preserve"> </w:t>
      </w:r>
      <w:r>
        <w:rPr>
          <w:rFonts w:ascii="Sarabun" w:hAnsi="Sarabun" w:cs="Sarabun"/>
        </w:rPr>
        <w:t>วันต่อการตั้งครรภ์ครั้งหนึ่งๆ</w:t>
      </w:r>
    </w:p>
    <w:p>
      <w:pPr>
        <w:pStyle w:val="ListContents"/>
        <w:numPr>
          <w:ilvl w:val="1"/>
          <w:numId w:val="4"/>
        </w:numPr>
        <w:rPr>
          <w:rFonts w:ascii="Sarabun" w:hAnsi="Sarabun" w:cs="Sarabun"/>
        </w:rPr>
      </w:pPr>
      <w:r>
        <w:rPr>
          <w:rFonts w:ascii="Sarabun" w:hAnsi="Sarabun" w:cs="Sarabun"/>
        </w:rPr>
        <w:t xml:space="preserve">พนักงานจะได้รับค่าจ้างในช่วงการลาคลอดเพียง </w:t>
      </w:r>
      <w:r>
        <w:rPr>
          <w:rFonts w:cs="Sarabun" w:ascii="Sarabun" w:hAnsi="Sarabun"/>
        </w:rPr>
        <w:t>45</w:t>
      </w:r>
      <w:r>
        <w:rPr>
          <w:rFonts w:ascii="Sarabun" w:hAnsi="Sarabun" w:cs="Sarabun"/>
        </w:rPr>
        <w:t>วัน</w:t>
      </w:r>
    </w:p>
    <w:p>
      <w:pPr>
        <w:pStyle w:val="ListContents"/>
        <w:numPr>
          <w:ilvl w:val="1"/>
          <w:numId w:val="4"/>
        </w:numPr>
        <w:rPr>
          <w:rFonts w:ascii="Sarabun" w:hAnsi="Sarabun" w:cs="Sarabun"/>
        </w:rPr>
      </w:pPr>
      <w:r>
        <w:rPr>
          <w:rFonts w:ascii="Sarabun" w:hAnsi="Sarabun" w:cs="Sarabun"/>
        </w:rPr>
        <w:t>การลาคลอดนั้นสามารถรวมไปถึงการลาก่อนคลอดได้ด้วย</w:t>
      </w:r>
    </w:p>
    <w:p>
      <w:pPr>
        <w:pStyle w:val="ListContents"/>
        <w:numPr>
          <w:ilvl w:val="1"/>
          <w:numId w:val="4"/>
        </w:numPr>
        <w:rPr>
          <w:rFonts w:ascii="Sarabun" w:hAnsi="Sarabun" w:cs="Sarabun"/>
        </w:rPr>
      </w:pPr>
      <w:r>
        <w:rPr>
          <w:rFonts w:ascii="Sarabun" w:hAnsi="Sarabun" w:cs="Sarabun"/>
        </w:rPr>
        <w:t>วันลาคลอดรวมวันหยุดราชการ และวันหยุดเสาร์อาทิตย์</w:t>
      </w:r>
    </w:p>
    <w:p>
      <w:pPr>
        <w:pStyle w:val="ListContents"/>
        <w:numPr>
          <w:ilvl w:val="1"/>
          <w:numId w:val="4"/>
        </w:numPr>
        <w:rPr>
          <w:rFonts w:ascii="Sarabun" w:hAnsi="Sarabun" w:cs="Sarabun"/>
        </w:rPr>
      </w:pPr>
      <w:r>
        <w:rPr>
          <w:rFonts w:ascii="Sarabun" w:hAnsi="Sarabun" w:cs="Sarabun"/>
        </w:rPr>
        <w:t>พนักงานที่ลาคลอดต้องแสดงใบรับรองแพทย์จากโรงพยาบาลที่ได้รับการยอมรับ</w:t>
      </w:r>
    </w:p>
    <w:p>
      <w:pPr>
        <w:pStyle w:val="ListContents"/>
        <w:numPr>
          <w:ilvl w:val="1"/>
          <w:numId w:val="4"/>
        </w:numPr>
        <w:rPr>
          <w:rFonts w:ascii="Sarabun" w:hAnsi="Sarabun" w:cs="Sarabun"/>
        </w:rPr>
      </w:pPr>
      <w:r>
        <w:rPr>
          <w:rFonts w:ascii="Sarabun" w:hAnsi="Sarabun" w:cs="Sarabun"/>
        </w:rPr>
        <w:t>วันลาคลอดที่ไม่ได้ใช้ ไม่สามารถทบไปยังปีต่อไปได้</w:t>
      </w:r>
    </w:p>
    <w:p>
      <w:pPr>
        <w:pStyle w:val="HeadingArial13"/>
        <w:outlineLvl w:val="2"/>
        <w:rPr>
          <w:rFonts w:ascii="Sarabun" w:hAnsi="Sarabun" w:cs="Sarabun"/>
        </w:rPr>
      </w:pPr>
      <w:r>
        <w:rPr>
          <w:rFonts w:ascii="Sarabun" w:hAnsi="Sarabun" w:cs="Sarabun"/>
        </w:rPr>
        <w:t>ลากิจ</w:t>
      </w:r>
      <w:r>
        <w:rPr>
          <w:rStyle w:val="FootnoteAnchor"/>
          <w:rFonts w:ascii="Sarabun" w:hAnsi="Sarabun" w:cs="Sarabun"/>
        </w:rPr>
        <w:footnoteReference w:id="5"/>
      </w:r>
    </w:p>
    <w:p>
      <w:pPr>
        <w:pStyle w:val="ListContents"/>
        <w:numPr>
          <w:ilvl w:val="1"/>
          <w:numId w:val="6"/>
        </w:numPr>
        <w:spacing w:lineRule="auto" w:line="276"/>
        <w:rPr>
          <w:rFonts w:ascii="Sarabun" w:hAnsi="Sarabun" w:cs="Sarabun"/>
        </w:rPr>
      </w:pPr>
      <w:r>
        <w:rPr>
          <w:rFonts w:ascii="Sarabun" w:hAnsi="Sarabun" w:cs="Sarabun"/>
        </w:rPr>
        <w:t xml:space="preserve">พนักงานทุกคนมีสิทธิลากิจได้ </w:t>
      </w:r>
      <w:r>
        <w:rPr>
          <w:rFonts w:cs="Sarabun" w:ascii="Sarabun" w:hAnsi="Sarabun"/>
        </w:rPr>
        <w:t>3</w:t>
      </w:r>
      <w:r>
        <w:rPr>
          <w:rFonts w:ascii="Sarabun" w:hAnsi="Sarabun" w:cs="Sarabun"/>
        </w:rPr>
        <w:t xml:space="preserve">วันต่อปี ทั้งนี้ขึ้นอยู่กับฝ่ายบริหาร ซึ่งอาจให้ค่าจ้างในวันลากิจ และอาจขยายวันลากิจได้ </w:t>
      </w:r>
    </w:p>
    <w:p>
      <w:pPr>
        <w:pStyle w:val="ListContents"/>
        <w:numPr>
          <w:ilvl w:val="1"/>
          <w:numId w:val="6"/>
        </w:numPr>
        <w:spacing w:lineRule="auto" w:line="276"/>
        <w:rPr>
          <w:rFonts w:ascii="Sarabun" w:hAnsi="Sarabun" w:cs="Sarabun"/>
        </w:rPr>
      </w:pPr>
      <w:r>
        <w:rPr>
          <w:rFonts w:ascii="Sarabun" w:hAnsi="Sarabun" w:cs="Sarabun"/>
        </w:rPr>
        <w:t>การลากิจจะสามารถใช้ในกรณีที่ต้องลาไปทำเอกสารทางราชการที่ไม่สามารถทำในวันหยุดหรือวันหยุดราชการได้ ตัวอย่างของการลากิจมีดังต่อไปนี้</w:t>
      </w:r>
    </w:p>
    <w:p>
      <w:pPr>
        <w:pStyle w:val="ListContents"/>
        <w:numPr>
          <w:ilvl w:val="2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>การต่อใบขับขี่</w:t>
      </w:r>
    </w:p>
    <w:p>
      <w:pPr>
        <w:pStyle w:val="ListContents"/>
        <w:numPr>
          <w:ilvl w:val="2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>การต่อบัตรประชาชนหรือพาสปอร์ต</w:t>
      </w:r>
    </w:p>
    <w:p>
      <w:pPr>
        <w:pStyle w:val="ListContents"/>
        <w:numPr>
          <w:ilvl w:val="2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 xml:space="preserve">การทำเรื่องเกี่ยวกับทะเบียนบ้าน </w:t>
      </w:r>
    </w:p>
    <w:p>
      <w:pPr>
        <w:pStyle w:val="ListContents"/>
        <w:numPr>
          <w:ilvl w:val="1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 xml:space="preserve">การลากิจเพื่อไปทำธุระกิจ จะขึ้นอยู่กับการตัดสินใจของบริษัทนั้นๆ </w:t>
      </w:r>
    </w:p>
    <w:p>
      <w:pPr>
        <w:pStyle w:val="ListContents"/>
        <w:numPr>
          <w:ilvl w:val="1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>วันลากิจที่ไม่ได้ใช้ ไม่สามารถทบไปยังปีถัดไปได้</w:t>
      </w:r>
    </w:p>
    <w:p>
      <w:pPr>
        <w:pStyle w:val="ListContents"/>
        <w:numPr>
          <w:ilvl w:val="1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 xml:space="preserve">พนักงานที่กำลังทดลองงานมีสิทธิในการใช้วันลากิจ </w:t>
      </w:r>
    </w:p>
    <w:p>
      <w:pPr>
        <w:pStyle w:val="HeadingArial13"/>
        <w:outlineLvl w:val="2"/>
        <w:rPr>
          <w:rFonts w:ascii="Sarabun" w:hAnsi="Sarabun" w:cs="Sarabun"/>
        </w:rPr>
      </w:pPr>
      <w:r>
        <w:rPr>
          <w:rFonts w:ascii="Sarabun" w:hAnsi="Sarabun" w:cs="Sarabun"/>
        </w:rPr>
        <w:t>ลาฝึกอบรบ</w:t>
      </w:r>
      <w:r>
        <w:rPr>
          <w:rStyle w:val="FootnoteAnchor"/>
          <w:rFonts w:ascii="Sarabun" w:hAnsi="Sarabun" w:cs="Sarabun"/>
        </w:rPr>
        <w:footnoteReference w:id="6"/>
      </w:r>
    </w:p>
    <w:p>
      <w:pPr>
        <w:pStyle w:val="ListContents"/>
        <w:numPr>
          <w:ilvl w:val="1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 xml:space="preserve">พนักงานทุกคนมีสิทธิลาฝึกอบรมได้ </w:t>
      </w:r>
      <w:r>
        <w:rPr>
          <w:rFonts w:cs="Sarabun" w:ascii="Sarabun" w:hAnsi="Sarabun"/>
        </w:rPr>
        <w:t>5</w:t>
      </w:r>
      <w:r>
        <w:rPr>
          <w:rFonts w:ascii="Sarabun" w:hAnsi="Sarabun" w:cs="Sarabun"/>
        </w:rPr>
        <w:t xml:space="preserve">วัน หลังจากทำงานได้แล้ว </w:t>
      </w:r>
      <w:r>
        <w:rPr>
          <w:rFonts w:cs="Sarabun" w:ascii="Sarabun" w:hAnsi="Sarabun"/>
        </w:rPr>
        <w:t xml:space="preserve">6 </w:t>
      </w:r>
      <w:r>
        <w:rPr>
          <w:rFonts w:ascii="Sarabun" w:hAnsi="Sarabun" w:cs="Sarabun"/>
        </w:rPr>
        <w:t>เดือน</w:t>
      </w:r>
    </w:p>
    <w:p>
      <w:pPr>
        <w:pStyle w:val="ListContents"/>
        <w:numPr>
          <w:ilvl w:val="1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>ต้องยื่นใบสมัคร และได้รับการอนุมัติจากฝ่ายบริหารก่อนที่จะลาฝึกอบรมได้</w:t>
      </w:r>
    </w:p>
    <w:p>
      <w:pPr>
        <w:pStyle w:val="ListContents"/>
        <w:numPr>
          <w:ilvl w:val="1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>พนักงานจะได้รับค่าจ้างในวันลาฝึกอบรม</w:t>
      </w:r>
    </w:p>
    <w:p>
      <w:pPr>
        <w:pStyle w:val="ListContents"/>
        <w:numPr>
          <w:ilvl w:val="1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>วันลาฝึกอบรมสามารถขยายเพิ่มเติมได้ โดยขึ้นอยู่กับฝ่ายบริหาร</w:t>
      </w:r>
    </w:p>
    <w:p>
      <w:pPr>
        <w:pStyle w:val="ListContents"/>
        <w:numPr>
          <w:ilvl w:val="1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>วันลาฝึกอบรมไม่สามารถทบไปยังปีปฏิทินถัดไปได้</w:t>
      </w:r>
    </w:p>
    <w:p>
      <w:pPr>
        <w:pStyle w:val="HeadingArial13"/>
        <w:outlineLvl w:val="2"/>
        <w:rPr>
          <w:rFonts w:ascii="Sarabun" w:hAnsi="Sarabun" w:cs="Sarabun"/>
        </w:rPr>
      </w:pPr>
      <w:r>
        <w:rPr>
          <w:rFonts w:ascii="Sarabun" w:hAnsi="Sarabun" w:cs="Sarabun"/>
        </w:rPr>
        <w:t>ลารับราชการทหาร</w:t>
      </w:r>
      <w:r>
        <w:rPr>
          <w:rStyle w:val="FootnoteAnchor"/>
          <w:rFonts w:ascii="Sarabun" w:hAnsi="Sarabun" w:cs="Sarabun"/>
        </w:rPr>
        <w:footnoteReference w:id="7"/>
      </w:r>
    </w:p>
    <w:p>
      <w:pPr>
        <w:pStyle w:val="ListContents"/>
        <w:numPr>
          <w:ilvl w:val="1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 xml:space="preserve">พนักงานชายมีสิทธิที่จะลารับราชการทหารได้สูงสุด </w:t>
      </w:r>
      <w:r>
        <w:rPr>
          <w:rFonts w:cs="Sarabun" w:ascii="Sarabun" w:hAnsi="Sarabun"/>
        </w:rPr>
        <w:t xml:space="preserve">60 </w:t>
      </w:r>
      <w:r>
        <w:rPr>
          <w:rFonts w:ascii="Sarabun" w:hAnsi="Sarabun" w:cs="Sarabun"/>
        </w:rPr>
        <w:t xml:space="preserve">วันต่อปีปฏิทิน </w:t>
      </w:r>
    </w:p>
    <w:p>
      <w:pPr>
        <w:pStyle w:val="ListContents"/>
        <w:numPr>
          <w:ilvl w:val="1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 xml:space="preserve">สิทธิในการลา เริ่มต้นหลังจากวันที่พนักงานได้เริ่มทำงานที่บริษัท </w:t>
      </w:r>
    </w:p>
    <w:p>
      <w:pPr>
        <w:pStyle w:val="ListContents"/>
        <w:numPr>
          <w:ilvl w:val="1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>พนักงานต้องแสดงใบรับรองจากการทหารก่อนการลา เพื่อสนับสนุนคำขอในการลา</w:t>
      </w:r>
    </w:p>
    <w:p>
      <w:pPr>
        <w:pStyle w:val="ListContents"/>
        <w:numPr>
          <w:ilvl w:val="1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>วันลาไม่สามารถทบไปยังปีปฏิทินถัดไปได้</w:t>
      </w:r>
    </w:p>
    <w:p>
      <w:pPr>
        <w:pStyle w:val="ListContents"/>
        <w:numPr>
          <w:ilvl w:val="1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 xml:space="preserve">พนักงานที่กำลังฝึกงานมีสิทธิในการใช้วันลารับราชการทหาร </w:t>
      </w:r>
    </w:p>
    <w:p>
      <w:pPr>
        <w:pStyle w:val="HeadingArial13"/>
        <w:outlineLvl w:val="2"/>
        <w:rPr>
          <w:rFonts w:ascii="Sarabun" w:hAnsi="Sarabun" w:cs="Sarabun"/>
        </w:rPr>
      </w:pPr>
      <w:r>
        <w:rPr>
          <w:rFonts w:ascii="Sarabun" w:hAnsi="Sarabun" w:cs="Sarabun"/>
        </w:rPr>
        <w:t>ลาเพื่อทำหมัน</w:t>
      </w:r>
      <w:r>
        <w:rPr>
          <w:rStyle w:val="FootnoteAnchor"/>
          <w:rFonts w:ascii="Sarabun" w:hAnsi="Sarabun" w:cs="Sarabun"/>
        </w:rPr>
        <w:footnoteReference w:id="8"/>
      </w:r>
    </w:p>
    <w:p>
      <w:pPr>
        <w:pStyle w:val="ListContents"/>
        <w:numPr>
          <w:ilvl w:val="1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 xml:space="preserve">พนักงานทุกคนมีสิทธิลาเพื่อทำหมันได้ </w:t>
      </w:r>
    </w:p>
    <w:p>
      <w:pPr>
        <w:pStyle w:val="ListContents"/>
        <w:numPr>
          <w:ilvl w:val="1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 xml:space="preserve">ใบยื่นขออนุมัติ ต้องแนบใบรับรองแพทย์ที่เป็นที่ยอมรับ ซึ่งระบุถึงวันลาที่แพทย์แนะนำ </w:t>
      </w:r>
    </w:p>
    <w:p>
      <w:pPr>
        <w:pStyle w:val="ListContents"/>
        <w:numPr>
          <w:ilvl w:val="1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 xml:space="preserve">การลานี้สามารถลาได้เพียงครั้งเดียว ในช่วงการทำงานของพนักงาน </w:t>
      </w:r>
    </w:p>
    <w:p>
      <w:pPr>
        <w:pStyle w:val="ListContents"/>
        <w:numPr>
          <w:ilvl w:val="1"/>
          <w:numId w:val="2"/>
        </w:numPr>
        <w:rPr>
          <w:rFonts w:ascii="Sarabun" w:hAnsi="Sarabun" w:cs="Sarabun"/>
        </w:rPr>
      </w:pPr>
      <w:r>
        <w:rPr>
          <w:rFonts w:ascii="Sarabun" w:hAnsi="Sarabun" w:cs="Sarabun"/>
        </w:rPr>
        <w:t xml:space="preserve">พนักงานที่กำลังฝึกงานไม่สามารถลาเพื่อทำหมันได้ </w:t>
      </w:r>
    </w:p>
    <w:p>
      <w:pPr>
        <w:pStyle w:val="ListContents"/>
        <w:spacing w:before="115" w:after="173"/>
        <w:ind w:left="0" w:right="0" w:hanging="0"/>
        <w:rPr/>
      </w:pPr>
      <w:r>
        <w:rPr/>
      </w:r>
    </w:p>
    <w:sectPr>
      <w:headerReference w:type="default" r:id="rId9"/>
      <w:footerReference w:type="default" r:id="rId10"/>
      <w:footnotePr>
        <w:numFmt w:val="decimal"/>
      </w:footnotePr>
      <w:type w:val="nextPage"/>
      <w:pgSz w:w="11909" w:h="16834"/>
      <w:pgMar w:left="562" w:right="562" w:header="490" w:top="1567" w:footer="567" w:bottom="1129" w:gutter="0"/>
      <w:pgNumType w:fmt="decimal"/>
      <w:formProt w:val="false"/>
      <w:textDirection w:val="lrTb"/>
      <w:docGrid w:type="default" w:linePitch="312" w:charSpace="429496094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Verdana">
    <w:charset w:val="00"/>
    <w:family w:val="swiss"/>
    <w:pitch w:val="default"/>
  </w:font>
  <w:font w:name="Calibri">
    <w:charset w:val="00"/>
    <w:family w:val="swiss"/>
    <w:pitch w:val="variable"/>
  </w:font>
  <w:font w:name="StarSymbol">
    <w:altName w:val="Arial Unicode MS"/>
    <w:charset w:val="02"/>
    <w:family w:val="auto"/>
    <w:pitch w:val="default"/>
  </w:font>
  <w:font w:name="Tahoma">
    <w:charset w:val="00"/>
    <w:family w:val="swiss"/>
    <w:pitch w:val="variable"/>
  </w:font>
  <w:font w:name="Trebuchet MS">
    <w:charset w:val="00"/>
    <w:family w:val="swiss"/>
    <w:pitch w:val="variable"/>
  </w:font>
  <w:font w:name="Sarabun">
    <w:charset w:val="00"/>
    <w:family w:val="auto"/>
    <w:pitch w:val="variable"/>
  </w:font>
  <w:font w:name="Corbel">
    <w:charset w:val="00"/>
    <w:family w:val="swiss"/>
    <w:pitch w:val="variable"/>
  </w:font>
  <w:font w:name="Verdana">
    <w:charset w:val="00"/>
    <w:family w:val="swiss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spacing w:before="170" w:after="113"/>
      <w:jc w:val="right"/>
      <w:rPr/>
    </w:pPr>
    <w:r>
      <w:drawing>
        <wp:anchor behindDoc="1" distT="0" distB="0" distL="0" distR="0" simplePos="0" locked="0" layoutInCell="0" allowOverlap="1" relativeHeight="6">
          <wp:simplePos x="0" y="0"/>
          <wp:positionH relativeFrom="column">
            <wp:posOffset>-356870</wp:posOffset>
          </wp:positionH>
          <wp:positionV relativeFrom="paragraph">
            <wp:posOffset>150495</wp:posOffset>
          </wp:positionV>
          <wp:extent cx="7560310" cy="441325"/>
          <wp:effectExtent l="0" t="0" r="0" b="0"/>
          <wp:wrapNone/>
          <wp:docPr id="10" name="Image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441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rebuchet MS" w:ascii="Verdana" w:hAnsi="Verdana"/>
        <w:b w:val="false"/>
        <w:bCs w:val="false"/>
        <w:color w:val="00A2D3"/>
        <w:sz w:val="16"/>
        <w:szCs w:val="16"/>
      </w:rPr>
      <w:t>P</w:t>
    </w:r>
    <w:r>
      <w:rPr>
        <w:rFonts w:cs="Trebuchet MS" w:ascii="Verdana" w:hAnsi="Verdana"/>
        <w:b w:val="false"/>
        <w:bCs w:val="false"/>
        <w:color w:val="00A2D3"/>
        <w:sz w:val="16"/>
        <w:szCs w:val="16"/>
      </w:rPr>
      <w:t xml:space="preserve">age </w:t>
    </w:r>
    <w:r>
      <w:rPr>
        <w:rFonts w:ascii="Verdana" w:hAnsi="Verdana"/>
        <w:b w:val="false"/>
        <w:bCs w:val="false"/>
        <w:color w:val="00A2D3"/>
        <w:sz w:val="16"/>
        <w:szCs w:val="16"/>
      </w:rPr>
      <w:fldChar w:fldCharType="begin"/>
    </w:r>
    <w:r>
      <w:rPr>
        <w:sz w:val="16"/>
        <w:b w:val="false"/>
        <w:szCs w:val="16"/>
        <w:bCs w:val="false"/>
        <w:rFonts w:ascii="Verdana" w:hAnsi="Verdana"/>
        <w:color w:val="00A2D3"/>
      </w:rPr>
      <w:instrText> PAGE </w:instrText>
    </w:r>
    <w:r>
      <w:rPr>
        <w:sz w:val="16"/>
        <w:b w:val="false"/>
        <w:szCs w:val="16"/>
        <w:bCs w:val="false"/>
        <w:rFonts w:ascii="Verdana" w:hAnsi="Verdana"/>
        <w:color w:val="00A2D3"/>
      </w:rPr>
      <w:fldChar w:fldCharType="separate"/>
    </w:r>
    <w:r>
      <w:rPr>
        <w:sz w:val="16"/>
        <w:b w:val="false"/>
        <w:szCs w:val="16"/>
        <w:bCs w:val="false"/>
        <w:rFonts w:ascii="Verdana" w:hAnsi="Verdana"/>
        <w:color w:val="00A2D3"/>
      </w:rPr>
      <w:t>5</w:t>
    </w:r>
    <w:r>
      <w:rPr>
        <w:sz w:val="16"/>
        <w:b w:val="false"/>
        <w:szCs w:val="16"/>
        <w:bCs w:val="false"/>
        <w:rFonts w:ascii="Verdana" w:hAnsi="Verdana"/>
        <w:color w:val="00A2D3"/>
      </w:rPr>
      <w:fldChar w:fldCharType="end"/>
    </w:r>
    <w:r>
      <w:rPr>
        <w:rFonts w:cs="Trebuchet MS" w:ascii="Verdana" w:hAnsi="Verdana"/>
        <w:b w:val="false"/>
        <w:bCs w:val="false"/>
        <w:color w:val="00A2D3"/>
        <w:sz w:val="16"/>
        <w:szCs w:val="16"/>
      </w:rPr>
      <w:t xml:space="preserve"> of </w:t>
    </w:r>
    <w:r>
      <w:rPr>
        <w:rFonts w:cs="Trebuchet MS" w:ascii="Verdana" w:hAnsi="Verdana"/>
        <w:b w:val="false"/>
        <w:bCs w:val="false"/>
        <w:color w:val="00A2D3"/>
        <w:sz w:val="16"/>
        <w:szCs w:val="16"/>
      </w:rPr>
      <w:fldChar w:fldCharType="begin"/>
    </w:r>
    <w:r>
      <w:rPr>
        <w:sz w:val="16"/>
        <w:b w:val="false"/>
        <w:szCs w:val="16"/>
        <w:bCs w:val="false"/>
        <w:rFonts w:cs="Trebuchet MS" w:ascii="Verdana" w:hAnsi="Verdana"/>
        <w:color w:val="00A2D3"/>
      </w:rPr>
      <w:instrText> NUMPAGES </w:instrText>
    </w:r>
    <w:r>
      <w:rPr>
        <w:sz w:val="16"/>
        <w:b w:val="false"/>
        <w:szCs w:val="16"/>
        <w:bCs w:val="false"/>
        <w:rFonts w:cs="Trebuchet MS" w:ascii="Verdana" w:hAnsi="Verdana"/>
        <w:color w:val="00A2D3"/>
      </w:rPr>
      <w:fldChar w:fldCharType="separate"/>
    </w:r>
    <w:r>
      <w:rPr>
        <w:sz w:val="16"/>
        <w:b w:val="false"/>
        <w:szCs w:val="16"/>
        <w:bCs w:val="false"/>
        <w:rFonts w:cs="Trebuchet MS" w:ascii="Verdana" w:hAnsi="Verdana"/>
        <w:color w:val="00A2D3"/>
      </w:rPr>
      <w:t>5</w:t>
    </w:r>
    <w:r>
      <w:rPr>
        <w:sz w:val="16"/>
        <w:b w:val="false"/>
        <w:szCs w:val="16"/>
        <w:bCs w:val="false"/>
        <w:rFonts w:cs="Trebuchet MS" w:ascii="Verdana" w:hAnsi="Verdana"/>
        <w:color w:val="00A2D3"/>
      </w:rPr>
      <w:fldChar w:fldCharType="end"/>
    </w:r>
    <w:r>
      <w:rPr>
        <w:rFonts w:cs="Trebuchet MS" w:ascii="Verdana" w:hAnsi="Verdana"/>
        <w:b w:val="false"/>
        <w:bCs w:val="false"/>
        <w:color w:val="00A2D3"/>
        <w:sz w:val="16"/>
        <w:szCs w:val="16"/>
      </w:rPr>
      <w:t xml:space="preserve"> Pages</w:t>
    </w:r>
    <w:r>
      <w:rPr>
        <w:rFonts w:cs="Trebuchet MS" w:ascii="Verdana" w:hAnsi="Verdana"/>
        <w:b/>
        <w:bCs/>
        <w:color w:val="00A2D3"/>
        <w:sz w:val="16"/>
        <w:szCs w:val="16"/>
      </w:rPr>
      <w:t xml:space="preserve"> </w:t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pPr>
        <w:rPr>
          <w:sz w:val="13"/>
        </w:rPr>
      </w:pPr>
      <w:r>
        <w:separator/>
      </w:r>
    </w:p>
  </w:footnote>
  <w:footnote w:id="1" w:type="continuationSeparator">
    <w:p>
      <w:pPr>
        <w:rPr>
          <w:sz w:val="13"/>
        </w:rPr>
      </w:pPr>
      <w:r>
        <w:continuationSeparator/>
      </w:r>
    </w:p>
  </w:footnote>
  <w:footnote w:id="2">
    <w:p>
      <w:pPr>
        <w:pStyle w:val="Footnote"/>
        <w:numPr>
          <w:ilvl w:val="0"/>
          <w:numId w:val="3"/>
        </w:numPr>
        <w:spacing w:before="170" w:after="113"/>
        <w:rPr>
          <w:rFonts w:ascii="Sarabun" w:hAnsi="Sarabun" w:cs="Sarabun"/>
          <w:sz w:val="18"/>
          <w:szCs w:val="18"/>
        </w:rPr>
      </w:pPr>
      <w:r>
        <w:rPr>
          <w:rStyle w:val="FootnoteCharacters"/>
        </w:rPr>
        <w:footnoteRef/>
      </w:r>
      <w:r>
        <w:rPr>
          <w:rFonts w:ascii="Sarabun" w:hAnsi="Sarabun" w:cs="Sarabun"/>
          <w:sz w:val="18"/>
          <w:sz w:val="18"/>
          <w:szCs w:val="18"/>
        </w:rPr>
        <w:tab/>
        <w:t xml:space="preserve">ศาลฎีกาของประเทศไทยได้ตัดสินว่านายจ้างมีความผิดมาตรา </w:t>
      </w:r>
      <w:r>
        <w:rPr>
          <w:rFonts w:cs="Sarabun" w:ascii="Sarabun" w:hAnsi="Sarabun"/>
          <w:sz w:val="18"/>
          <w:szCs w:val="18"/>
        </w:rPr>
        <w:t xml:space="preserve">30 </w:t>
      </w:r>
      <w:r>
        <w:rPr>
          <w:rFonts w:ascii="Sarabun" w:hAnsi="Sarabun" w:cs="Sarabun"/>
          <w:sz w:val="18"/>
          <w:sz w:val="18"/>
          <w:szCs w:val="18"/>
        </w:rPr>
        <w:t>ตามกฎหมายว่าด้วยการคุ้มครองแรงงานหากนายจ้างระบุในระเบียบการทำงานว่า วันลาพักร้อนไม่สามารถที่จะทบไปยังปีถัดไปได้ ดังนั้นแม้ในระเบียบการทำงานจะไม่ได้ระบุไว้ พนักงานมีสิทธิที่จะขอรับค่าจ้างวันหยุดสำหรับวันลาพักร้อนที่ไม่ได้ใช้ ซึ่งทบมาจากปีที่แล้ว นอกจากนี้ นายจ้างไม่มีสิทธิที่จะหัก หรือลดสิทธินั้นไม่ว่าจะด้วยเหตุผลใดก็ตาม</w:t>
      </w:r>
    </w:p>
  </w:footnote>
  <w:footnote w:id="3">
    <w:p>
      <w:pPr>
        <w:pStyle w:val="Footnote"/>
        <w:numPr>
          <w:ilvl w:val="0"/>
          <w:numId w:val="3"/>
        </w:numPr>
        <w:spacing w:before="170" w:after="113"/>
        <w:rPr>
          <w:rFonts w:ascii="Sarabun" w:hAnsi="Sarabun" w:cs="Sarabun"/>
          <w:sz w:val="18"/>
          <w:szCs w:val="18"/>
        </w:rPr>
      </w:pPr>
      <w:r>
        <w:rPr>
          <w:rStyle w:val="FootnoteCharacters"/>
        </w:rPr>
        <w:footnoteRef/>
      </w:r>
      <w:r>
        <w:rPr>
          <w:rFonts w:ascii="Sarabun" w:hAnsi="Sarabun" w:cs="Sarabun"/>
          <w:sz w:val="18"/>
          <w:sz w:val="18"/>
          <w:szCs w:val="18"/>
        </w:rPr>
        <w:tab/>
        <w:t>หรืออีกทางเลือกหนึ่งคือสามารถคำนวนตามรายเดือนได้</w:t>
      </w:r>
    </w:p>
  </w:footnote>
  <w:footnote w:id="4">
    <w:p>
      <w:pPr>
        <w:pStyle w:val="Footnote"/>
        <w:numPr>
          <w:ilvl w:val="0"/>
          <w:numId w:val="5"/>
        </w:numPr>
        <w:spacing w:before="170" w:after="113"/>
        <w:rPr>
          <w:rFonts w:ascii="Sarabun" w:hAnsi="Sarabun" w:cs="Sarabun"/>
          <w:sz w:val="18"/>
          <w:szCs w:val="18"/>
        </w:rPr>
      </w:pPr>
      <w:r>
        <w:rPr>
          <w:rStyle w:val="FootnoteCharacters"/>
        </w:rPr>
        <w:footnoteRef/>
      </w:r>
      <w:r>
        <w:rPr>
          <w:rFonts w:ascii="Sarabun" w:hAnsi="Sarabun" w:cs="Sarabun"/>
          <w:sz w:val="18"/>
          <w:sz w:val="18"/>
          <w:szCs w:val="18"/>
        </w:rPr>
        <w:tab/>
        <w:t xml:space="preserve">เพิ่มวันลาจาก </w:t>
      </w:r>
      <w:r>
        <w:rPr>
          <w:rFonts w:cs="Sarabun" w:ascii="Sarabun" w:hAnsi="Sarabun"/>
          <w:sz w:val="18"/>
          <w:szCs w:val="18"/>
        </w:rPr>
        <w:t>90</w:t>
      </w:r>
      <w:r>
        <w:rPr>
          <w:rFonts w:ascii="Sarabun" w:hAnsi="Sarabun" w:cs="Sarabun"/>
          <w:sz w:val="18"/>
          <w:sz w:val="18"/>
          <w:szCs w:val="18"/>
        </w:rPr>
        <w:t xml:space="preserve">วัน ตามกฏหมายคุ้มครองแรงงาน </w:t>
      </w:r>
      <w:r>
        <w:rPr>
          <w:rFonts w:cs="Sarabun" w:ascii="Sarabun" w:hAnsi="Sarabun"/>
          <w:sz w:val="18"/>
          <w:szCs w:val="18"/>
        </w:rPr>
        <w:t>(</w:t>
      </w:r>
      <w:r>
        <w:rPr>
          <w:rFonts w:ascii="Sarabun" w:hAnsi="Sarabun" w:cs="Sarabun"/>
          <w:sz w:val="18"/>
          <w:sz w:val="18"/>
          <w:szCs w:val="18"/>
        </w:rPr>
        <w:t xml:space="preserve">ฉบับที่ </w:t>
      </w:r>
      <w:r>
        <w:rPr>
          <w:rFonts w:cs="Sarabun" w:ascii="Sarabun" w:hAnsi="Sarabun"/>
          <w:sz w:val="18"/>
          <w:szCs w:val="18"/>
        </w:rPr>
        <w:t>7) 2562</w:t>
      </w:r>
    </w:p>
  </w:footnote>
  <w:footnote w:id="5">
    <w:p>
      <w:pPr>
        <w:pStyle w:val="Footnote"/>
        <w:numPr>
          <w:ilvl w:val="0"/>
          <w:numId w:val="5"/>
        </w:numPr>
        <w:spacing w:before="170" w:after="113"/>
        <w:rPr>
          <w:rFonts w:ascii="Sarabun" w:hAnsi="Sarabun" w:cs="Sarabun"/>
          <w:sz w:val="18"/>
          <w:szCs w:val="18"/>
        </w:rPr>
      </w:pPr>
      <w:r>
        <w:rPr>
          <w:rStyle w:val="FootnoteCharacters"/>
        </w:rPr>
        <w:footnoteRef/>
      </w:r>
      <w:r>
        <w:rPr>
          <w:rFonts w:ascii="Sarabun" w:hAnsi="Sarabun" w:cs="Sarabun"/>
          <w:sz w:val="18"/>
          <w:sz w:val="18"/>
          <w:szCs w:val="18"/>
        </w:rPr>
        <w:tab/>
        <w:t xml:space="preserve">วันลากิจนั้นแตกต่างจากวันลาพักร้อน จึงต้องมีการกล่าวถึงโดยแยกออกจากกันภายในระเบียบการทำงาน กฎหมายว่าด้วยการคุ้มครองแรงงานกำหนดการลากิจได้ </w:t>
      </w:r>
      <w:r>
        <w:rPr>
          <w:rFonts w:cs="Sarabun" w:ascii="Sarabun" w:hAnsi="Sarabun"/>
          <w:sz w:val="18"/>
          <w:szCs w:val="18"/>
        </w:rPr>
        <w:t>3</w:t>
      </w:r>
      <w:r>
        <w:rPr>
          <w:rFonts w:ascii="Sarabun" w:hAnsi="Sarabun" w:cs="Sarabun"/>
          <w:sz w:val="18"/>
          <w:sz w:val="18"/>
          <w:szCs w:val="18"/>
        </w:rPr>
        <w:t xml:space="preserve">วัน และได้รับค่าจ้าง นายจ้างสามารถกำหนดข้อบังคับเกี่ยวกับวันลากิจได้อย่างอิสระในระเบียบการทำงาน นายจ้างควรจะตั้งหลักเกณฑ์ วันที่สามารถลาได้ต่อปี กระบวนการขออนุมัติ และระบุว่าพนักงานจะได้รับค่าจ้างในกรณีที่ลากิจหรือไม่ หลังจากที่ได้อนุมัติวันลากิจเรียบร้อยแล้ว นายจ้างไม่สามารถที่จะหักวันลาเหล่านั้นออกจากวันลาพักร้อนได้ </w:t>
      </w:r>
      <w:r>
        <w:rPr>
          <w:rFonts w:cs="Sarabun" w:ascii="Sarabun" w:hAnsi="Sarabun"/>
          <w:sz w:val="18"/>
          <w:szCs w:val="18"/>
        </w:rPr>
        <w:t>(Chitchai Punsan of Tilleke &amp; Gibbins International Ltd)</w:t>
      </w:r>
    </w:p>
  </w:footnote>
  <w:footnote w:id="6">
    <w:p>
      <w:pPr>
        <w:pStyle w:val="Footnote"/>
        <w:numPr>
          <w:ilvl w:val="0"/>
          <w:numId w:val="5"/>
        </w:numPr>
        <w:spacing w:before="170" w:after="113"/>
        <w:rPr>
          <w:rFonts w:ascii="Sarabun" w:hAnsi="Sarabun" w:cs="Sarabun"/>
          <w:sz w:val="18"/>
          <w:szCs w:val="18"/>
        </w:rPr>
      </w:pPr>
      <w:r>
        <w:rPr>
          <w:rStyle w:val="FootnoteCharacters"/>
        </w:rPr>
        <w:footnoteRef/>
      </w:r>
      <w:r>
        <w:rPr>
          <w:rFonts w:ascii="Sarabun" w:hAnsi="Sarabun" w:cs="Sarabun"/>
          <w:sz w:val="18"/>
          <w:sz w:val="18"/>
          <w:szCs w:val="18"/>
        </w:rPr>
        <w:tab/>
        <w:t>นายจ้างควรจะพิจารณาให้วันลาฝึกอบรมเป็นส่วนหนึ่งของนโยบายวันลา และสนับสนุนให้มีการฝึกอบรมพนักงาน จากนั้นให้เก็บรักษาข้อมูลการฝึกอบรมพนักงานอย่างถูกต้อง โดยสิ่งนี้จะมอบประโยชน์ในการจ้างงานซึ่งสามารถใช้โฆษณาได้ตอนคัดเลือกพนักงาน</w:t>
      </w:r>
    </w:p>
  </w:footnote>
  <w:footnote w:id="7">
    <w:p>
      <w:pPr>
        <w:pStyle w:val="Footnote"/>
        <w:numPr>
          <w:ilvl w:val="0"/>
          <w:numId w:val="5"/>
        </w:numPr>
        <w:spacing w:before="170" w:after="113"/>
        <w:rPr>
          <w:rFonts w:ascii="Sarabun" w:hAnsi="Sarabun" w:cs="Sarabun"/>
          <w:sz w:val="18"/>
          <w:szCs w:val="18"/>
        </w:rPr>
      </w:pPr>
      <w:r>
        <w:rPr>
          <w:rStyle w:val="FootnoteCharacters"/>
        </w:rPr>
        <w:footnoteRef/>
      </w:r>
      <w:r>
        <w:rPr>
          <w:rFonts w:ascii="Sarabun" w:hAnsi="Sarabun" w:cs="Sarabun"/>
          <w:sz w:val="18"/>
          <w:sz w:val="18"/>
          <w:szCs w:val="18"/>
        </w:rPr>
        <w:tab/>
        <w:t>เป็นข้อบังคับตามกฎหมายว่าด้วยแรงงานของไทย</w:t>
      </w:r>
    </w:p>
  </w:footnote>
  <w:footnote w:id="8">
    <w:p>
      <w:pPr>
        <w:pStyle w:val="Footnote"/>
        <w:numPr>
          <w:ilvl w:val="0"/>
          <w:numId w:val="5"/>
        </w:numPr>
        <w:spacing w:before="170" w:after="113"/>
        <w:rPr>
          <w:rFonts w:ascii="Sarabun" w:hAnsi="Sarabun" w:cs="Sarabun"/>
          <w:sz w:val="18"/>
          <w:szCs w:val="18"/>
        </w:rPr>
      </w:pPr>
      <w:r>
        <w:rPr>
          <w:rStyle w:val="FootnoteCharacters"/>
        </w:rPr>
        <w:footnoteRef/>
      </w:r>
      <w:r>
        <w:rPr>
          <w:rFonts w:ascii="Sarabun" w:hAnsi="Sarabun" w:cs="Sarabun"/>
          <w:sz w:val="18"/>
          <w:sz w:val="18"/>
          <w:szCs w:val="18"/>
        </w:rPr>
        <w:tab/>
        <w:t>เป็นข้อบังคับตามกฎหมายว่าด้วยแรงงานของไทย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Address"/>
      <w:spacing w:lineRule="auto" w:line="276"/>
      <w:rPr>
        <w:rFonts w:ascii="Calibri" w:hAnsi="Calibri" w:eastAsia="Arial Unicode MS" w:cs="Tahoma"/>
        <w:b w:val="false"/>
        <w:b w:val="false"/>
        <w:bCs w:val="false"/>
        <w:color w:val="A40000"/>
        <w:sz w:val="18"/>
        <w:szCs w:val="18"/>
        <w:lang w:val="en-US" w:bidi="th-TH"/>
      </w:rPr>
    </w:pPr>
    <w:r>
      <w:drawing>
        <wp:anchor behindDoc="1" distT="0" distB="0" distL="0" distR="0" simplePos="0" locked="0" layoutInCell="0" allowOverlap="1" relativeHeight="10">
          <wp:simplePos x="0" y="0"/>
          <wp:positionH relativeFrom="column">
            <wp:posOffset>-356870</wp:posOffset>
          </wp:positionH>
          <wp:positionV relativeFrom="paragraph">
            <wp:posOffset>-311150</wp:posOffset>
          </wp:positionV>
          <wp:extent cx="7561580" cy="671195"/>
          <wp:effectExtent l="0" t="0" r="0" b="0"/>
          <wp:wrapNone/>
          <wp:docPr id="9" name="Imag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671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 Unicode MS" w:cs="Tahoma" w:ascii="Calibri" w:hAnsi="Calibri"/>
        <w:b w:val="false"/>
        <w:bCs w:val="false"/>
        <w:color w:val="A40000"/>
        <w:sz w:val="18"/>
        <w:szCs w:val="18"/>
        <w:lang w:val="en-US" w:bidi="th-TH"/>
      </w:rPr>
      <w:t>T</w:t>
    </w:r>
    <w:r>
      <w:rPr>
        <w:rFonts w:eastAsia="Arial Unicode MS" w:cs="Tahoma" w:ascii="Calibri" w:hAnsi="Calibri"/>
        <w:b w:val="false"/>
        <w:bCs w:val="false"/>
        <w:color w:val="A40000"/>
        <w:sz w:val="18"/>
        <w:szCs w:val="18"/>
        <w:lang w:val="en-US" w:bidi="th-TH"/>
      </w:rPr>
      <w:t>his document is provided free of charge by GainPlus Solutions Limited.</w:t>
    </w:r>
  </w:p>
  <w:p>
    <w:pPr>
      <w:pStyle w:val="Address"/>
      <w:spacing w:lineRule="auto" w:line="276"/>
      <w:rPr>
        <w:rFonts w:ascii="Calibri" w:hAnsi="Calibri" w:eastAsia="Arial Unicode MS" w:cs="Tahoma"/>
        <w:b w:val="false"/>
        <w:b w:val="false"/>
        <w:bCs w:val="false"/>
        <w:color w:val="A40000"/>
        <w:sz w:val="18"/>
        <w:szCs w:val="18"/>
        <w:lang w:val="en-US" w:bidi="th-TH"/>
      </w:rPr>
    </w:pPr>
    <w:r>
      <w:rPr>
        <w:rFonts w:eastAsia="Arial Unicode MS" w:cs="Tahoma" w:ascii="Calibri" w:hAnsi="Calibri"/>
        <w:b w:val="false"/>
        <w:bCs w:val="false"/>
        <w:color w:val="A40000"/>
        <w:sz w:val="18"/>
        <w:szCs w:val="18"/>
        <w:lang w:val="en-US" w:bidi="th-TH"/>
      </w:rPr>
      <w:t>GainPlus provides the best cloud-based, Leave and Payroll service at a very competetive price.</w:t>
    </w:r>
  </w:p>
  <w:p>
    <w:pPr>
      <w:pStyle w:val="Address"/>
      <w:spacing w:lineRule="auto" w:line="276"/>
      <w:rPr>
        <w:rFonts w:ascii="Sarabun" w:hAnsi="Sarabun" w:eastAsia="Arial Unicode MS" w:cs="Sarabun"/>
        <w:b w:val="false"/>
        <w:b w:val="false"/>
        <w:bCs w:val="false"/>
        <w:color w:val="A40000"/>
        <w:sz w:val="20"/>
        <w:szCs w:val="20"/>
        <w:lang w:val="en-US" w:bidi="th-TH"/>
      </w:rPr>
    </w:pPr>
    <w:r>
      <w:rPr>
        <w:rFonts w:eastAsia="Arial Unicode MS" w:cs="Tahoma" w:ascii="Calibri" w:hAnsi="Calibri"/>
        <w:b w:val="false"/>
        <w:bCs w:val="false"/>
        <w:color w:val="A40000"/>
        <w:sz w:val="18"/>
        <w:szCs w:val="18"/>
        <w:lang w:val="en-US" w:bidi="th-TH"/>
      </w:rPr>
      <w:t>If you are interested in this, please contact our offices in Bangkok on +66 2 401 9250</w:t>
    </w:r>
    <w:r>
      <w:rPr>
        <w:rFonts w:eastAsia="Arial Unicode MS" w:cs="Tahoma" w:ascii="Tahoma" w:hAnsi="Tahoma"/>
        <w:b w:val="false"/>
        <w:bCs w:val="false"/>
        <w:color w:val="A40000"/>
        <w:sz w:val="18"/>
        <w:szCs w:val="18"/>
        <w:lang w:val="en-US" w:bidi="th-TH"/>
      </w:rPr>
      <w:t xml:space="preserve"> </w:t>
    </w:r>
    <w:r>
      <w:rPr>
        <w:rFonts w:eastAsia="Arial Unicode MS" w:cs="Tahoma" w:ascii="Tahoma" w:hAnsi="Tahoma"/>
        <w:b w:val="false"/>
        <w:bCs w:val="false"/>
        <w:color w:val="A40000"/>
        <w:sz w:val="18"/>
        <w:szCs w:val="18"/>
        <w:lang w:val="en-US" w:bidi="th-TH"/>
      </w:rPr>
      <w:t>(</w:t>
    </w:r>
    <w:r>
      <w:rPr>
        <w:rFonts w:ascii="Tahoma" w:hAnsi="Tahoma" w:eastAsia="Arial Unicode MS" w:cs="Tahoma"/>
        <w:b w:val="false"/>
        <w:b w:val="false"/>
        <w:bCs w:val="false"/>
        <w:color w:val="A40000"/>
        <w:sz w:val="18"/>
        <w:sz w:val="18"/>
        <w:szCs w:val="18"/>
        <w:lang w:val="en-US" w:bidi="th-TH"/>
      </w:rPr>
      <w:t>สามารถ</w:t>
    </w:r>
    <w:r>
      <w:rPr>
        <w:rFonts w:ascii="Tahoma" w:hAnsi="Tahoma" w:eastAsia="Arial Unicode MS" w:cs="Tahoma"/>
        <w:b w:val="false"/>
        <w:b w:val="false"/>
        <w:bCs w:val="false"/>
        <w:color w:val="A40000"/>
        <w:sz w:val="18"/>
        <w:sz w:val="18"/>
        <w:szCs w:val="18"/>
        <w:lang w:val="en-US" w:bidi="th-TH"/>
      </w:rPr>
      <w:t xml:space="preserve">สอบถามข้อมูลเพิ่มเติม ได้ที่ </w:t>
    </w:r>
    <w:r>
      <w:rPr>
        <w:rFonts w:eastAsia="Arial Unicode MS" w:cs="Tahoma" w:ascii="Calibri" w:hAnsi="Calibri"/>
        <w:b w:val="false"/>
        <w:bCs w:val="false"/>
        <w:color w:val="A40000"/>
        <w:sz w:val="18"/>
        <w:szCs w:val="18"/>
        <w:lang w:val="en-US" w:bidi="th-TH"/>
      </w:rPr>
      <w:t>+66 2 401 9250</w:t>
    </w:r>
    <w:r>
      <w:rPr>
        <w:rFonts w:eastAsia="Arial Unicode MS" w:cs="Tahoma" w:ascii="Calibri" w:hAnsi="Calibri"/>
        <w:b w:val="false"/>
        <w:bCs w:val="false"/>
        <w:color w:val="A40000"/>
        <w:sz w:val="18"/>
        <w:szCs w:val="18"/>
        <w:lang w:val="en-US" w:bidi="th-TH"/>
      </w:rPr>
      <w:t>)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numPicBullet w:numPicBulletId="0">
    <w:pict>
      <v:shape style="width:9pt;height:9pt" o:bullet="t">
        <v:imagedata r:id="rId1" o:title=""/>
      </v:shape>
    </w:pict>
  </w:numPicBullet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pStyle w:val="Heading2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pStyle w:val="Heading3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decimal"/>
      <w:lvlText w:val="%2.%3)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3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4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5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6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7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8.%9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/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isplayBackgroundShape/>
  <w:defaultTabStop w:val="720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Verdana" w:hAnsi="Verdana" w:eastAsia="SimSun" w:cs="Mangal"/>
        <w:sz w:val="24"/>
        <w:szCs w:val="24"/>
        <w:lang w:val="en-A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kinsoku w:val="true"/>
      <w:overflowPunct w:val="true"/>
      <w:autoSpaceDE w:val="true"/>
      <w:bidi w:val="0"/>
      <w:spacing w:before="170" w:after="113"/>
      <w:ind w:left="0" w:right="0" w:hanging="0"/>
    </w:pPr>
    <w:rPr>
      <w:rFonts w:ascii="Calibri" w:hAnsi="Calibri" w:eastAsia="Arial Unicode MS" w:cs="Angsana New"/>
      <w:color w:val="0369A3"/>
      <w:sz w:val="24"/>
      <w:szCs w:val="24"/>
      <w:lang w:val="en-US" w:bidi="th-TH" w:eastAsia="zh-CN"/>
    </w:rPr>
  </w:style>
  <w:style w:type="paragraph" w:styleId="Heading1">
    <w:name w:val="Heading 1"/>
    <w:basedOn w:val="Heading"/>
    <w:next w:val="TextBody"/>
    <w:qFormat/>
    <w:pPr>
      <w:numPr>
        <w:ilvl w:val="0"/>
        <w:numId w:val="1"/>
      </w:numPr>
      <w:spacing w:before="240" w:after="120"/>
      <w:contextualSpacing/>
      <w:jc w:val="center"/>
      <w:outlineLvl w:val="0"/>
    </w:pPr>
    <w:rPr>
      <w:rFonts w:ascii="Arial" w:hAnsi="Arial"/>
      <w:b/>
      <w:bCs/>
      <w:color w:val="3465A4"/>
      <w:sz w:val="32"/>
      <w:szCs w:val="36"/>
    </w:rPr>
  </w:style>
  <w:style w:type="paragraph" w:styleId="Heading2">
    <w:name w:val="Heading 2"/>
    <w:basedOn w:val="Heading"/>
    <w:next w:val="TextBody"/>
    <w:qFormat/>
    <w:pPr>
      <w:numPr>
        <w:ilvl w:val="1"/>
        <w:numId w:val="1"/>
      </w:numPr>
      <w:ind w:left="0" w:right="0" w:hanging="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Heading"/>
    <w:next w:val="TextBody"/>
    <w:qFormat/>
    <w:pPr>
      <w:numPr>
        <w:ilvl w:val="2"/>
        <w:numId w:val="1"/>
      </w:numPr>
      <w:bidi w:val="0"/>
      <w:spacing w:before="113" w:after="57"/>
      <w:ind w:left="0" w:right="0" w:hanging="0"/>
      <w:contextualSpacing/>
      <w:outlineLvl w:val="2"/>
    </w:pPr>
    <w:rPr>
      <w:b/>
      <w:bCs/>
      <w:sz w:val="26"/>
      <w:szCs w:val="28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sz w:val="22"/>
      <w:szCs w:val="22"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DefaultParagraphFont">
    <w:name w:val="Default Paragraph Font"/>
    <w:qFormat/>
    <w:rPr/>
  </w:style>
  <w:style w:type="character" w:styleId="NumberingSymbols">
    <w:name w:val="Numbering Symbols"/>
    <w:qFormat/>
    <w:rPr/>
  </w:style>
  <w:style w:type="character" w:styleId="Bullets">
    <w:name w:val="Bullets"/>
    <w:qFormat/>
    <w:rPr>
      <w:rFonts w:ascii="StarSymbol;Arial Unicode MS" w:hAnsi="StarSymbol;Arial Unicode MS" w:eastAsia="StarSymbol;Arial Unicode MS" w:cs="StarSymbol;Arial Unicode MS"/>
      <w:sz w:val="18"/>
      <w:szCs w:val="18"/>
    </w:rPr>
  </w:style>
  <w:style w:type="character" w:styleId="WW8Num3z3">
    <w:name w:val="WW8Num3z3"/>
    <w:qFormat/>
    <w:rPr>
      <w:rFonts w:ascii="Symbol" w:hAnsi="Symbol" w:cs="StarSymbol;Arial Unicode MS"/>
      <w:sz w:val="18"/>
      <w:szCs w:val="18"/>
    </w:rPr>
  </w:style>
  <w:style w:type="character" w:styleId="AbsatzStandardschriftart">
    <w:name w:val="Absatz-Standardschriftart"/>
    <w:qFormat/>
    <w:rPr/>
  </w:style>
  <w:style w:type="character" w:styleId="WWAbsatzStandardschriftart">
    <w:name w:val="WW-Absatz-Standardschriftart"/>
    <w:qFormat/>
    <w:rPr/>
  </w:style>
  <w:style w:type="character" w:styleId="Emphasis">
    <w:name w:val="Emphasis"/>
    <w:qFormat/>
    <w:rPr>
      <w:i/>
      <w:iCs/>
    </w:rPr>
  </w:style>
  <w:style w:type="character" w:styleId="BalloonTextChar">
    <w:name w:val="Balloon Text Char"/>
    <w:qFormat/>
    <w:rPr>
      <w:rFonts w:ascii="Tahoma" w:hAnsi="Tahoma" w:eastAsia="Arial Unicode MS" w:cs="Angsana New"/>
      <w:sz w:val="16"/>
    </w:rPr>
  </w:style>
  <w:style w:type="character" w:styleId="InternetLink">
    <w:name w:val="Hyperlink"/>
    <w:rPr>
      <w:color w:val="000080"/>
      <w:u w:val="single"/>
      <w:lang w:val="zxx" w:eastAsia="zxx" w:bidi="zxx"/>
    </w:rPr>
  </w:style>
  <w:style w:type="character" w:styleId="FootnoteCharacters">
    <w:name w:val="Footnote Characters"/>
    <w:qFormat/>
    <w:rPr/>
  </w:style>
  <w:style w:type="character" w:styleId="FootnoteAnchor">
    <w:name w:val="Footnote Anchor"/>
    <w:rPr>
      <w:vertAlign w:val="superscript"/>
    </w:rPr>
  </w:style>
  <w:style w:type="character" w:styleId="BulletSymbols">
    <w:name w:val="Bullet Symbols"/>
    <w:qFormat/>
    <w:rPr/>
  </w:style>
  <w:style w:type="character" w:styleId="StrongEmphasis">
    <w:name w:val="Strong Emphasis"/>
    <w:qFormat/>
    <w:rPr>
      <w:b/>
      <w:bCs/>
    </w:rPr>
  </w:style>
  <w:style w:type="character" w:styleId="EndnoteAnchor">
    <w:name w:val="Endnote Anchor"/>
    <w:rPr>
      <w:vertAlign w:val="superscript"/>
    </w:rPr>
  </w:style>
  <w:style w:type="character" w:styleId="EndnoteCharacters">
    <w:name w:val="Endnote Characters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  <w:contextualSpacing/>
    </w:pPr>
    <w:rPr>
      <w:rFonts w:ascii="Arial" w:hAnsi="Arial" w:eastAsia="Arial Unicode MS" w:cs="Tahoma"/>
      <w:sz w:val="28"/>
      <w:szCs w:val="28"/>
    </w:rPr>
  </w:style>
  <w:style w:type="paragraph" w:styleId="TextBody">
    <w:name w:val="Body Text"/>
    <w:basedOn w:val="Normal"/>
    <w:pPr>
      <w:spacing w:before="0" w:after="120"/>
      <w:contextualSpacing/>
    </w:pPr>
    <w:rPr/>
  </w:style>
  <w:style w:type="paragraph" w:styleId="List">
    <w:name w:val="List"/>
    <w:basedOn w:val="TextBody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  <w:contextualSpacing/>
    </w:pPr>
    <w:rPr>
      <w:rFonts w:cs="Tahoma"/>
      <w:i/>
      <w:iCs/>
      <w:sz w:val="20"/>
      <w:szCs w:val="20"/>
    </w:rPr>
  </w:style>
  <w:style w:type="paragraph" w:styleId="Index">
    <w:name w:val="Index"/>
    <w:basedOn w:val="Normal"/>
    <w:qFormat/>
    <w:pPr>
      <w:suppressLineNumbers/>
    </w:pPr>
    <w:rPr>
      <w:rFonts w:cs="Tahoma"/>
    </w:rPr>
  </w:style>
  <w:style w:type="paragraph" w:styleId="HangingIndent">
    <w:name w:val="Hanging Indent"/>
    <w:basedOn w:val="TextBody"/>
    <w:qFormat/>
    <w:pPr>
      <w:tabs>
        <w:tab w:val="clear" w:pos="720"/>
        <w:tab w:val="left" w:pos="0" w:leader="none"/>
      </w:tabs>
      <w:ind w:left="567" w:right="0" w:hanging="283"/>
    </w:pPr>
    <w:rPr/>
  </w:style>
  <w:style w:type="paragraph" w:styleId="ListIndent">
    <w:name w:val="List Indent"/>
    <w:basedOn w:val="TextBody"/>
    <w:qFormat/>
    <w:pPr>
      <w:tabs>
        <w:tab w:val="clear" w:pos="720"/>
        <w:tab w:val="left" w:pos="0" w:leader="none"/>
      </w:tabs>
      <w:ind w:left="2835" w:right="0" w:hanging="2551"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Normal"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Footer">
    <w:name w:val="Footer"/>
    <w:basedOn w:val="Normal"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TableContents">
    <w:name w:val="Table Contents"/>
    <w:basedOn w:val="Normal"/>
    <w:qFormat/>
    <w:pPr>
      <w:suppressLineNumbers/>
    </w:pPr>
    <w:rPr>
      <w:sz w:val="21"/>
    </w:rPr>
  </w:style>
  <w:style w:type="paragraph" w:styleId="TableHeading">
    <w:name w:val="Table Heading"/>
    <w:basedOn w:val="TableContents"/>
    <w:qFormat/>
    <w:pPr>
      <w:suppressLineNumbers/>
      <w:spacing w:before="0" w:after="0"/>
      <w:jc w:val="center"/>
    </w:pPr>
    <w:rPr>
      <w:b/>
      <w:bCs/>
      <w:i/>
      <w:iCs/>
      <w:sz w:val="20"/>
    </w:rPr>
  </w:style>
  <w:style w:type="paragraph" w:styleId="Quotations">
    <w:name w:val="Quotations"/>
    <w:basedOn w:val="Normal"/>
    <w:qFormat/>
    <w:pPr>
      <w:spacing w:before="0" w:after="283"/>
      <w:ind w:left="567" w:right="567" w:hanging="0"/>
      <w:contextualSpacing/>
    </w:pPr>
    <w:rPr/>
  </w:style>
  <w:style w:type="paragraph" w:styleId="Title">
    <w:name w:val="Title"/>
    <w:basedOn w:val="Heading"/>
    <w:next w:val="TextBody"/>
    <w:qFormat/>
    <w:pPr>
      <w:jc w:val="center"/>
    </w:pPr>
    <w:rPr>
      <w:b/>
      <w:bCs/>
      <w:sz w:val="56"/>
      <w:szCs w:val="56"/>
    </w:rPr>
  </w:style>
  <w:style w:type="paragraph" w:styleId="Subtitle">
    <w:name w:val="Subtitle"/>
    <w:basedOn w:val="Heading"/>
    <w:next w:val="TextBody"/>
    <w:qFormat/>
    <w:pPr>
      <w:spacing w:before="60" w:after="120"/>
      <w:contextualSpacing/>
      <w:jc w:val="center"/>
    </w:pPr>
    <w:rPr>
      <w:sz w:val="36"/>
      <w:szCs w:val="36"/>
    </w:rPr>
  </w:style>
  <w:style w:type="paragraph" w:styleId="Salutation">
    <w:name w:val="Salutation"/>
    <w:basedOn w:val="Normal"/>
    <w:qFormat/>
    <w:pPr>
      <w:suppressLineNumbers/>
    </w:pPr>
    <w:rPr/>
  </w:style>
  <w:style w:type="paragraph" w:styleId="Address">
    <w:name w:val="Address"/>
    <w:basedOn w:val="Normal"/>
    <w:qFormat/>
    <w:pPr>
      <w:spacing w:before="0" w:after="0"/>
      <w:contextualSpacing/>
    </w:pPr>
    <w:rPr>
      <w:rFonts w:ascii="Trebuchet MS" w:hAnsi="Trebuchet MS" w:cs="Trebuchet MS"/>
    </w:rPr>
  </w:style>
  <w:style w:type="paragraph" w:styleId="ListContents">
    <w:name w:val="List Contents"/>
    <w:basedOn w:val="Normal"/>
    <w:qFormat/>
    <w:pPr>
      <w:bidi w:val="0"/>
      <w:spacing w:lineRule="auto" w:line="204" w:before="115" w:after="173"/>
      <w:ind w:left="461" w:right="0" w:hanging="0"/>
    </w:pPr>
    <w:rPr>
      <w:rFonts w:ascii="Calibri" w:hAnsi="Calibri" w:cs="Verdana"/>
      <w:color w:val="355269"/>
    </w:rPr>
  </w:style>
  <w:style w:type="paragraph" w:styleId="BalloonText">
    <w:name w:val="Balloon Text"/>
    <w:basedOn w:val="Normal"/>
    <w:qFormat/>
    <w:pPr>
      <w:spacing w:before="0" w:after="0"/>
      <w:contextualSpacing/>
    </w:pPr>
    <w:rPr>
      <w:rFonts w:ascii="Tahoma" w:hAnsi="Tahoma" w:cs="Tahoma"/>
      <w:sz w:val="16"/>
      <w:szCs w:val="20"/>
    </w:rPr>
  </w:style>
  <w:style w:type="paragraph" w:styleId="ListParagraph">
    <w:name w:val="List Paragraph"/>
    <w:basedOn w:val="Normal"/>
    <w:qFormat/>
    <w:pPr>
      <w:ind w:left="720" w:right="0" w:hanging="0"/>
    </w:pPr>
    <w:rPr>
      <w:szCs w:val="30"/>
    </w:rPr>
  </w:style>
  <w:style w:type="paragraph" w:styleId="HeadingArial16">
    <w:name w:val="Heading/Arial/16"/>
    <w:basedOn w:val="Heading1"/>
    <w:qFormat/>
    <w:pPr>
      <w:numPr>
        <w:ilvl w:val="0"/>
        <w:numId w:val="0"/>
      </w:numPr>
      <w:ind w:left="0" w:right="0" w:hanging="0"/>
    </w:pPr>
    <w:rPr/>
  </w:style>
  <w:style w:type="paragraph" w:styleId="HeadingArial13">
    <w:name w:val="Heading/Arial/13"/>
    <w:basedOn w:val="Heading3"/>
    <w:qFormat/>
    <w:pPr>
      <w:numPr>
        <w:ilvl w:val="0"/>
        <w:numId w:val="0"/>
      </w:numPr>
      <w:tabs>
        <w:tab w:val="clear" w:pos="720"/>
        <w:tab w:val="left" w:pos="0" w:leader="none"/>
      </w:tabs>
      <w:ind w:left="0" w:right="0" w:hanging="0"/>
    </w:pPr>
    <w:rPr>
      <w:color w:val="3465A4"/>
    </w:rPr>
  </w:style>
  <w:style w:type="paragraph" w:styleId="Footnote">
    <w:name w:val="Footnote Text"/>
    <w:basedOn w:val="Normal"/>
    <w:pPr>
      <w:suppressLineNumbers/>
      <w:ind w:left="339" w:right="0" w:hanging="339"/>
    </w:pPr>
    <w:rPr>
      <w:color w:val="3465A4"/>
      <w:sz w:val="20"/>
      <w:szCs w:val="20"/>
    </w:rPr>
  </w:style>
  <w:style w:type="paragraph" w:styleId="BodyCalibri12">
    <w:name w:val="Body/Calibri/12"/>
    <w:basedOn w:val="TextBody"/>
    <w:qFormat/>
    <w:pPr>
      <w:spacing w:lineRule="auto" w:line="288"/>
    </w:pPr>
    <w:rPr>
      <w:rFonts w:ascii="Calibri" w:hAnsi="Calibri"/>
      <w:color w:val="355269"/>
      <w:sz w:val="24"/>
      <w:szCs w:val="24"/>
    </w:rPr>
  </w:style>
  <w:style w:type="paragraph" w:styleId="InternetLinkCalibri12">
    <w:name w:val="Internet Link/Calibri/12"/>
    <w:basedOn w:val="TextBody"/>
    <w:qFormat/>
    <w:pPr>
      <w:tabs>
        <w:tab w:val="clear" w:pos="720"/>
        <w:tab w:val="left" w:pos="0" w:leader="none"/>
      </w:tabs>
    </w:pPr>
    <w:rPr>
      <w:color w:val="0369A3"/>
    </w:rPr>
  </w:style>
  <w:style w:type="paragraph" w:styleId="FirstLineIndent">
    <w:name w:val="Body Text First Indent"/>
    <w:basedOn w:val="TextBody"/>
    <w:pPr>
      <w:ind w:left="0" w:right="0" w:firstLine="283"/>
    </w:pPr>
    <w:rPr/>
  </w:style>
  <w:style w:type="paragraph" w:styleId="ListHeading">
    <w:name w:val="List Heading"/>
    <w:basedOn w:val="Normal"/>
    <w:next w:val="ListContents"/>
    <w:qFormat/>
    <w:pPr>
      <w:ind w:left="0" w:right="0" w:hanging="0"/>
    </w:pPr>
    <w:rPr/>
  </w:style>
  <w:style w:type="paragraph" w:styleId="FrameContents">
    <w:name w:val="Frame Contents"/>
    <w:basedOn w:val="Normal"/>
    <w:qFormat/>
    <w:pPr/>
    <w:rPr/>
  </w:style>
  <w:style w:type="paragraph" w:styleId="CoverHeadingCorbel32">
    <w:name w:val="CoverHeading/Corbel/32"/>
    <w:basedOn w:val="Normal"/>
    <w:qFormat/>
    <w:pPr>
      <w:jc w:val="right"/>
    </w:pPr>
    <w:rPr>
      <w:rFonts w:ascii="Calibri" w:hAnsi="Calibri"/>
      <w:color w:val="3465A4"/>
      <w:sz w:val="72"/>
      <w:szCs w:val="72"/>
    </w:rPr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hyperlink" Target="http://www.gainplus.asia/totem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footnotes" Target="footnotes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8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7.png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9.gi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Test GPS 2</Template>
  <TotalTime>406</TotalTime>
  <Application>LibreOffice/7.0.2.2$Windows_X86_64 LibreOffice_project/8349ace3c3162073abd90d81fd06dcfb6b36b994</Application>
  <Pages>5</Pages>
  <Words>1625</Words>
  <Characters>4813</Characters>
  <CharactersWithSpaces>5015</CharactersWithSpaces>
  <Paragraphs>76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2021-01-18T14:45:35Z</dcterms:created>
  <dc:creator/>
  <dc:description/>
  <dc:language>en-US</dc:language>
  <cp:lastModifiedBy/>
  <dcterms:modified xsi:type="dcterms:W3CDTF">2021-02-11T17:04:08Z</dcterms:modified>
  <cp:revision>24</cp:revision>
  <dc:subject/>
  <dc:title>Test GPS 2</dc:title>
</cp:coreProperties>
</file>