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47559" w14:textId="77777777" w:rsidR="00493CEC" w:rsidRPr="00592307" w:rsidRDefault="00493CEC">
      <w:pPr>
        <w:spacing w:line="480" w:lineRule="auto"/>
        <w:rPr>
          <w:sz w:val="24"/>
          <w:szCs w:val="24"/>
        </w:rPr>
      </w:pPr>
    </w:p>
    <w:p w14:paraId="67D6821D" w14:textId="77777777" w:rsidR="00493CEC" w:rsidRPr="00592307" w:rsidRDefault="00493CEC">
      <w:pPr>
        <w:spacing w:line="480" w:lineRule="auto"/>
        <w:rPr>
          <w:sz w:val="24"/>
          <w:szCs w:val="24"/>
        </w:rPr>
      </w:pPr>
    </w:p>
    <w:p w14:paraId="2B4A87E0" w14:textId="77777777" w:rsidR="00493CEC" w:rsidRPr="00592307" w:rsidRDefault="00493CEC">
      <w:pPr>
        <w:spacing w:line="480" w:lineRule="auto"/>
        <w:rPr>
          <w:sz w:val="24"/>
          <w:szCs w:val="24"/>
        </w:rPr>
      </w:pPr>
    </w:p>
    <w:p w14:paraId="654B6115" w14:textId="77777777" w:rsidR="00493CEC" w:rsidRPr="00592307" w:rsidRDefault="00493CEC">
      <w:pPr>
        <w:spacing w:line="480" w:lineRule="auto"/>
        <w:rPr>
          <w:sz w:val="24"/>
          <w:szCs w:val="24"/>
        </w:rPr>
      </w:pPr>
    </w:p>
    <w:p w14:paraId="17D85220" w14:textId="77777777" w:rsidR="00493CEC" w:rsidRPr="00592307" w:rsidRDefault="00493CEC">
      <w:pPr>
        <w:spacing w:line="480" w:lineRule="auto"/>
        <w:rPr>
          <w:sz w:val="24"/>
          <w:szCs w:val="24"/>
        </w:rPr>
      </w:pPr>
    </w:p>
    <w:p w14:paraId="4BF81ABD" w14:textId="77777777" w:rsidR="00592307" w:rsidRPr="00592307" w:rsidRDefault="00592307">
      <w:pPr>
        <w:spacing w:line="480" w:lineRule="auto"/>
        <w:jc w:val="center"/>
        <w:rPr>
          <w:b/>
          <w:bCs/>
          <w:sz w:val="24"/>
          <w:szCs w:val="24"/>
        </w:rPr>
      </w:pPr>
    </w:p>
    <w:p w14:paraId="4A9E9D10" w14:textId="77777777" w:rsidR="00592307" w:rsidRPr="00592307" w:rsidRDefault="00592307">
      <w:pPr>
        <w:spacing w:line="480" w:lineRule="auto"/>
        <w:jc w:val="center"/>
        <w:rPr>
          <w:b/>
          <w:bCs/>
          <w:sz w:val="24"/>
          <w:szCs w:val="24"/>
        </w:rPr>
      </w:pPr>
    </w:p>
    <w:p w14:paraId="067EE037" w14:textId="77777777" w:rsidR="00592307" w:rsidRPr="00592307" w:rsidRDefault="00592307">
      <w:pPr>
        <w:spacing w:line="480" w:lineRule="auto"/>
        <w:jc w:val="center"/>
        <w:rPr>
          <w:b/>
          <w:bCs/>
          <w:sz w:val="24"/>
          <w:szCs w:val="24"/>
        </w:rPr>
      </w:pPr>
    </w:p>
    <w:p w14:paraId="71CE6F10" w14:textId="77777777" w:rsidR="00592307" w:rsidRPr="00592307" w:rsidRDefault="00592307">
      <w:pPr>
        <w:spacing w:line="480" w:lineRule="auto"/>
        <w:jc w:val="center"/>
        <w:rPr>
          <w:b/>
          <w:bCs/>
          <w:sz w:val="24"/>
          <w:szCs w:val="24"/>
        </w:rPr>
      </w:pPr>
    </w:p>
    <w:p w14:paraId="60D353E4" w14:textId="031CB208" w:rsidR="00493CEC" w:rsidRPr="00592307" w:rsidRDefault="00000000">
      <w:pPr>
        <w:spacing w:line="480" w:lineRule="auto"/>
        <w:jc w:val="center"/>
        <w:rPr>
          <w:sz w:val="24"/>
          <w:szCs w:val="24"/>
        </w:rPr>
      </w:pPr>
      <w:r w:rsidRPr="00592307">
        <w:rPr>
          <w:b/>
          <w:bCs/>
          <w:sz w:val="24"/>
          <w:szCs w:val="24"/>
        </w:rPr>
        <w:t>Quality Improvement Initiative: Sepsis Care at Virtua Willingboro Hospital</w:t>
      </w:r>
    </w:p>
    <w:p w14:paraId="2646297F" w14:textId="77777777" w:rsidR="00493CEC" w:rsidRPr="00592307" w:rsidRDefault="00493CEC">
      <w:pPr>
        <w:spacing w:line="480" w:lineRule="auto"/>
        <w:rPr>
          <w:sz w:val="24"/>
          <w:szCs w:val="24"/>
        </w:rPr>
      </w:pPr>
    </w:p>
    <w:p w14:paraId="6CB2B48A" w14:textId="77777777" w:rsidR="00493CEC" w:rsidRPr="00592307" w:rsidRDefault="00493CEC">
      <w:pPr>
        <w:spacing w:line="480" w:lineRule="auto"/>
        <w:rPr>
          <w:sz w:val="24"/>
          <w:szCs w:val="24"/>
        </w:rPr>
      </w:pPr>
    </w:p>
    <w:p w14:paraId="6EA57777" w14:textId="10BE1E48" w:rsidR="00493CEC" w:rsidRPr="00C93D51" w:rsidRDefault="00573F6A">
      <w:pPr>
        <w:spacing w:line="480" w:lineRule="auto"/>
        <w:jc w:val="center"/>
        <w:rPr>
          <w:sz w:val="24"/>
          <w:szCs w:val="24"/>
        </w:rPr>
      </w:pPr>
      <w:r w:rsidRPr="00C93D51">
        <w:rPr>
          <w:sz w:val="24"/>
          <w:szCs w:val="24"/>
        </w:rPr>
        <w:t>Jasmine Moore</w:t>
      </w:r>
    </w:p>
    <w:p w14:paraId="246D684F" w14:textId="171B0331" w:rsidR="00592307" w:rsidRPr="00C93D51" w:rsidRDefault="00573F6A">
      <w:pPr>
        <w:spacing w:line="480" w:lineRule="auto"/>
        <w:jc w:val="center"/>
        <w:rPr>
          <w:sz w:val="24"/>
          <w:szCs w:val="24"/>
        </w:rPr>
      </w:pPr>
      <w:r w:rsidRPr="00C93D51">
        <w:rPr>
          <w:sz w:val="24"/>
          <w:szCs w:val="24"/>
        </w:rPr>
        <w:t xml:space="preserve">Arizona Global University </w:t>
      </w:r>
    </w:p>
    <w:p w14:paraId="6B867DB2" w14:textId="5A920FED" w:rsidR="00592307" w:rsidRPr="00C93D51" w:rsidRDefault="00573F6A">
      <w:pPr>
        <w:spacing w:line="480" w:lineRule="auto"/>
        <w:jc w:val="center"/>
        <w:rPr>
          <w:sz w:val="24"/>
          <w:szCs w:val="24"/>
        </w:rPr>
      </w:pPr>
      <w:r w:rsidRPr="00C93D51">
        <w:rPr>
          <w:sz w:val="24"/>
          <w:szCs w:val="24"/>
          <w:shd w:val="clear" w:color="auto" w:fill="FFFFFF"/>
        </w:rPr>
        <w:t>Catherine Kisavi-</w:t>
      </w:r>
      <w:proofErr w:type="spellStart"/>
      <w:r w:rsidRPr="00C93D51">
        <w:rPr>
          <w:sz w:val="24"/>
          <w:szCs w:val="24"/>
          <w:shd w:val="clear" w:color="auto" w:fill="FFFFFF"/>
        </w:rPr>
        <w:t>Atatah</w:t>
      </w:r>
      <w:proofErr w:type="spellEnd"/>
    </w:p>
    <w:p w14:paraId="0AEF4EC3" w14:textId="247EDCB4" w:rsidR="00493CEC" w:rsidRPr="00C93D51" w:rsidRDefault="00573F6A" w:rsidP="00573F6A">
      <w:pPr>
        <w:spacing w:line="480" w:lineRule="auto"/>
        <w:jc w:val="center"/>
        <w:rPr>
          <w:sz w:val="24"/>
          <w:szCs w:val="24"/>
        </w:rPr>
      </w:pPr>
      <w:r w:rsidRPr="00C93D51">
        <w:rPr>
          <w:sz w:val="24"/>
          <w:szCs w:val="24"/>
        </w:rPr>
        <w:t>MHA 624</w:t>
      </w:r>
    </w:p>
    <w:p w14:paraId="5CE4F0A9" w14:textId="3918FAC0" w:rsidR="00573F6A" w:rsidRPr="00C93D51" w:rsidRDefault="00573F6A" w:rsidP="00573F6A">
      <w:pPr>
        <w:spacing w:line="480" w:lineRule="auto"/>
        <w:jc w:val="center"/>
        <w:rPr>
          <w:sz w:val="24"/>
          <w:szCs w:val="24"/>
        </w:rPr>
        <w:sectPr w:rsidR="00573F6A" w:rsidRPr="00C93D51">
          <w:headerReference w:type="default" r:id="rId7"/>
          <w:pgSz w:w="12240" w:h="15840"/>
          <w:pgMar w:top="1440" w:right="1440" w:bottom="1440" w:left="1440" w:header="708" w:footer="708" w:gutter="0"/>
          <w:cols w:space="720"/>
          <w:docGrid w:linePitch="360"/>
        </w:sectPr>
      </w:pPr>
      <w:r w:rsidRPr="00C93D51">
        <w:rPr>
          <w:sz w:val="24"/>
          <w:szCs w:val="24"/>
        </w:rPr>
        <w:t>May 25, 2026</w:t>
      </w:r>
    </w:p>
    <w:p w14:paraId="2C04E542" w14:textId="752DA429" w:rsidR="00493CEC" w:rsidRPr="00592307" w:rsidRDefault="00000000" w:rsidP="00B34223">
      <w:pPr>
        <w:spacing w:line="480" w:lineRule="auto"/>
        <w:jc w:val="center"/>
        <w:rPr>
          <w:sz w:val="24"/>
          <w:szCs w:val="24"/>
        </w:rPr>
      </w:pPr>
      <w:r w:rsidRPr="00592307">
        <w:rPr>
          <w:b/>
          <w:bCs/>
          <w:sz w:val="24"/>
          <w:szCs w:val="24"/>
        </w:rPr>
        <w:lastRenderedPageBreak/>
        <w:t>Quality Improvement Initiative: Sepsis Care at Virtua Willingboro Hospital</w:t>
      </w:r>
    </w:p>
    <w:p w14:paraId="573AFE11" w14:textId="10D779C2" w:rsidR="00493CEC" w:rsidRPr="00592307" w:rsidRDefault="00000000" w:rsidP="00CD6164">
      <w:pPr>
        <w:spacing w:line="480" w:lineRule="auto"/>
        <w:ind w:firstLine="720"/>
        <w:jc w:val="both"/>
        <w:rPr>
          <w:sz w:val="24"/>
          <w:szCs w:val="24"/>
        </w:rPr>
      </w:pPr>
      <w:r w:rsidRPr="00592307">
        <w:rPr>
          <w:sz w:val="24"/>
          <w:szCs w:val="24"/>
        </w:rPr>
        <w:t xml:space="preserve">Sepsis is one of the deadliest and </w:t>
      </w:r>
      <w:r w:rsidR="00CD6164" w:rsidRPr="00592307">
        <w:rPr>
          <w:sz w:val="24"/>
          <w:szCs w:val="24"/>
        </w:rPr>
        <w:t xml:space="preserve">most costly conditions </w:t>
      </w:r>
      <w:r w:rsidRPr="00592307">
        <w:rPr>
          <w:sz w:val="24"/>
          <w:szCs w:val="24"/>
        </w:rPr>
        <w:t xml:space="preserve">in acute care hospitals in the United States that requires a comprehensive, evidence-based quality improvement to guarantee patient safety and organizational outcomes. </w:t>
      </w:r>
      <w:r w:rsidR="00CD6164" w:rsidRPr="00592307">
        <w:rPr>
          <w:sz w:val="24"/>
          <w:szCs w:val="24"/>
        </w:rPr>
        <w:t>It is essential to examine</w:t>
      </w:r>
      <w:r w:rsidRPr="00592307">
        <w:rPr>
          <w:sz w:val="24"/>
          <w:szCs w:val="24"/>
        </w:rPr>
        <w:t xml:space="preserve"> Virtua Willingboro Hospital in Willingboro, New Jersey, in terms of the hospital's performance on the Centers for Medicare and Medicaid Services (CMS) Severe Sepsis and Septic Shock Management Bundle (SEP-1). </w:t>
      </w:r>
      <w:r w:rsidR="00CD6164" w:rsidRPr="00592307">
        <w:rPr>
          <w:sz w:val="24"/>
          <w:szCs w:val="24"/>
        </w:rPr>
        <w:t>This paper</w:t>
      </w:r>
      <w:r w:rsidRPr="00592307">
        <w:rPr>
          <w:sz w:val="24"/>
          <w:szCs w:val="24"/>
        </w:rPr>
        <w:t xml:space="preserve"> describes the services provided by the hospital, its customers, its current SEP-1 performance indicators, their importance to patient safety, accreditation, and finances, three SMART goals to work on, and evaluates significant local, state, and national policies that define evidence-based care in sepsis.</w:t>
      </w:r>
    </w:p>
    <w:p w14:paraId="473ED480" w14:textId="3117D208" w:rsidR="00493CEC" w:rsidRPr="00592307" w:rsidRDefault="00000000" w:rsidP="00AB5BF9">
      <w:pPr>
        <w:spacing w:line="480" w:lineRule="auto"/>
        <w:jc w:val="center"/>
        <w:rPr>
          <w:sz w:val="24"/>
          <w:szCs w:val="24"/>
        </w:rPr>
      </w:pPr>
      <w:r w:rsidRPr="00592307">
        <w:rPr>
          <w:b/>
          <w:bCs/>
          <w:sz w:val="24"/>
          <w:szCs w:val="24"/>
        </w:rPr>
        <w:t>Hospital Overview</w:t>
      </w:r>
    </w:p>
    <w:p w14:paraId="38C1D4E1" w14:textId="77A4F755" w:rsidR="00493CEC" w:rsidRPr="00592307" w:rsidRDefault="00000000" w:rsidP="00456770">
      <w:pPr>
        <w:spacing w:line="480" w:lineRule="auto"/>
        <w:ind w:firstLine="720"/>
        <w:jc w:val="both"/>
        <w:rPr>
          <w:sz w:val="24"/>
          <w:szCs w:val="24"/>
        </w:rPr>
      </w:pPr>
      <w:r w:rsidRPr="00592307">
        <w:rPr>
          <w:sz w:val="24"/>
          <w:szCs w:val="24"/>
        </w:rPr>
        <w:t>Virtua Willingboro Hospital is a 169-bed community-based medical hospital in Willingboro in Burlington County, New Jersey (a Virtua Health System hospital). The population serve</w:t>
      </w:r>
      <w:r w:rsidR="009F3D68" w:rsidRPr="00592307">
        <w:rPr>
          <w:sz w:val="24"/>
          <w:szCs w:val="24"/>
        </w:rPr>
        <w:t>d</w:t>
      </w:r>
      <w:r w:rsidRPr="00592307">
        <w:rPr>
          <w:sz w:val="24"/>
          <w:szCs w:val="24"/>
        </w:rPr>
        <w:t xml:space="preserve"> by the hospital </w:t>
      </w:r>
      <w:r w:rsidR="009F3D68" w:rsidRPr="00592307">
        <w:rPr>
          <w:sz w:val="24"/>
          <w:szCs w:val="24"/>
        </w:rPr>
        <w:t>consists of</w:t>
      </w:r>
      <w:r w:rsidRPr="00592307">
        <w:rPr>
          <w:sz w:val="24"/>
          <w:szCs w:val="24"/>
        </w:rPr>
        <w:t xml:space="preserve"> </w:t>
      </w:r>
      <w:r w:rsidR="009F3D68" w:rsidRPr="00592307">
        <w:rPr>
          <w:sz w:val="24"/>
          <w:szCs w:val="24"/>
        </w:rPr>
        <w:t xml:space="preserve">low-income and minority individuals </w:t>
      </w:r>
      <w:r w:rsidRPr="00592307">
        <w:rPr>
          <w:sz w:val="24"/>
          <w:szCs w:val="24"/>
        </w:rPr>
        <w:t>in South Jersey and neighboring communities. Clinical services comprise a 24/7 Emergency Department</w:t>
      </w:r>
      <w:r w:rsidR="009F3D68" w:rsidRPr="00592307">
        <w:rPr>
          <w:sz w:val="24"/>
          <w:szCs w:val="24"/>
        </w:rPr>
        <w:t xml:space="preserve"> with</w:t>
      </w:r>
      <w:r w:rsidRPr="00592307">
        <w:rPr>
          <w:sz w:val="24"/>
          <w:szCs w:val="24"/>
        </w:rPr>
        <w:t xml:space="preserve"> a PromptCare section, </w:t>
      </w:r>
      <w:r w:rsidR="009F3D68" w:rsidRPr="00592307">
        <w:rPr>
          <w:sz w:val="24"/>
          <w:szCs w:val="24"/>
        </w:rPr>
        <w:t>which is meant for</w:t>
      </w:r>
      <w:r w:rsidRPr="00592307">
        <w:rPr>
          <w:sz w:val="24"/>
          <w:szCs w:val="24"/>
        </w:rPr>
        <w:t xml:space="preserve"> no</w:t>
      </w:r>
      <w:r w:rsidR="009F3D68" w:rsidRPr="00592307">
        <w:rPr>
          <w:sz w:val="24"/>
          <w:szCs w:val="24"/>
        </w:rPr>
        <w:t>n-</w:t>
      </w:r>
      <w:r w:rsidRPr="00592307">
        <w:rPr>
          <w:sz w:val="24"/>
          <w:szCs w:val="24"/>
        </w:rPr>
        <w:t xml:space="preserve">urgent cases, seven </w:t>
      </w:r>
      <w:r w:rsidR="009F3D68" w:rsidRPr="00592307">
        <w:rPr>
          <w:sz w:val="24"/>
          <w:szCs w:val="24"/>
        </w:rPr>
        <w:t>surgical</w:t>
      </w:r>
      <w:r w:rsidRPr="00592307">
        <w:rPr>
          <w:sz w:val="24"/>
          <w:szCs w:val="24"/>
        </w:rPr>
        <w:t xml:space="preserve"> suites, </w:t>
      </w:r>
      <w:r w:rsidR="009F3D68" w:rsidRPr="00592307">
        <w:rPr>
          <w:sz w:val="24"/>
          <w:szCs w:val="24"/>
        </w:rPr>
        <w:t xml:space="preserve">a </w:t>
      </w:r>
      <w:r w:rsidRPr="00592307">
        <w:rPr>
          <w:sz w:val="24"/>
          <w:szCs w:val="24"/>
        </w:rPr>
        <w:t>wound care center, dialysis</w:t>
      </w:r>
      <w:r w:rsidR="009F3D68" w:rsidRPr="00592307">
        <w:rPr>
          <w:sz w:val="24"/>
          <w:szCs w:val="24"/>
        </w:rPr>
        <w:t xml:space="preserve"> services</w:t>
      </w:r>
      <w:r w:rsidRPr="00592307">
        <w:rPr>
          <w:sz w:val="24"/>
          <w:szCs w:val="24"/>
        </w:rPr>
        <w:t xml:space="preserve">, and </w:t>
      </w:r>
      <w:r w:rsidR="009F3D68" w:rsidRPr="00592307">
        <w:rPr>
          <w:sz w:val="24"/>
          <w:szCs w:val="24"/>
        </w:rPr>
        <w:t xml:space="preserve">a </w:t>
      </w:r>
      <w:r w:rsidRPr="00592307">
        <w:rPr>
          <w:sz w:val="24"/>
          <w:szCs w:val="24"/>
        </w:rPr>
        <w:t>pediatric CASTLE. Specific strengths that the hospital possesses</w:t>
      </w:r>
      <w:r w:rsidR="009F3D68" w:rsidRPr="00592307">
        <w:rPr>
          <w:sz w:val="24"/>
          <w:szCs w:val="24"/>
        </w:rPr>
        <w:t xml:space="preserve"> exist in behavioral health, gastroenterology, vascular and general surgery, and wound care. It also </w:t>
      </w:r>
      <w:r w:rsidRPr="00592307">
        <w:rPr>
          <w:sz w:val="24"/>
          <w:szCs w:val="24"/>
        </w:rPr>
        <w:t>has the Acuity Specialty Hospital of Southern New Jersey on-site to provide extended-stay complex cases.</w:t>
      </w:r>
    </w:p>
    <w:p w14:paraId="54162913" w14:textId="5E6BD7A9" w:rsidR="00A85099" w:rsidRPr="00592307" w:rsidRDefault="00000000" w:rsidP="00456770">
      <w:pPr>
        <w:spacing w:line="480" w:lineRule="auto"/>
        <w:ind w:firstLine="720"/>
        <w:jc w:val="both"/>
        <w:rPr>
          <w:sz w:val="24"/>
          <w:szCs w:val="24"/>
        </w:rPr>
      </w:pPr>
      <w:r w:rsidRPr="00592307">
        <w:rPr>
          <w:sz w:val="24"/>
          <w:szCs w:val="24"/>
        </w:rPr>
        <w:t xml:space="preserve">Being a Medicare-certified acute care facility, Virtua Willingboro is on its performance as a participant in the Hospital Inpatient Quality Reporting (IQR) and Hospital Value-Based </w:t>
      </w:r>
      <w:r w:rsidRPr="00592307">
        <w:rPr>
          <w:sz w:val="24"/>
          <w:szCs w:val="24"/>
        </w:rPr>
        <w:lastRenderedPageBreak/>
        <w:t>Purchasing (VBP) program, making performance on measures such as SEP-1 both publicly visible and affecting the organization and patient community in a financially meaningful way.</w:t>
      </w:r>
    </w:p>
    <w:p w14:paraId="21EF8A68" w14:textId="1C347CF6" w:rsidR="00493CEC" w:rsidRPr="00592307" w:rsidRDefault="00000000" w:rsidP="00456770">
      <w:pPr>
        <w:spacing w:line="480" w:lineRule="auto"/>
        <w:jc w:val="center"/>
        <w:rPr>
          <w:sz w:val="24"/>
          <w:szCs w:val="24"/>
        </w:rPr>
      </w:pPr>
      <w:r w:rsidRPr="00592307">
        <w:rPr>
          <w:b/>
          <w:bCs/>
          <w:sz w:val="24"/>
          <w:szCs w:val="24"/>
        </w:rPr>
        <w:t>Performance Evaluation: Sepsis Care (SEP-1)</w:t>
      </w:r>
    </w:p>
    <w:p w14:paraId="1AE9577F" w14:textId="24A51BDB" w:rsidR="00493CEC" w:rsidRPr="00592307" w:rsidRDefault="00000000" w:rsidP="00592307">
      <w:pPr>
        <w:spacing w:line="480" w:lineRule="auto"/>
        <w:ind w:firstLine="720"/>
        <w:jc w:val="both"/>
        <w:rPr>
          <w:sz w:val="24"/>
          <w:szCs w:val="24"/>
        </w:rPr>
      </w:pPr>
      <w:r w:rsidRPr="00592307">
        <w:rPr>
          <w:sz w:val="24"/>
          <w:szCs w:val="24"/>
        </w:rPr>
        <w:t>The measure of quality chosen is the use of the CMS SEP-1 bundle, which reflects the percentages of eligible patients with severe sepsis or septic shock who obtained all parts of the evidence-based care bundle within the required period of time. The SEP-1 has a three-hour bundle of serum lactate measurement, blood culture, and broad-spectrum antibiotics, and a six-hour bundle that incorporates the repeat lactate measurement and administration of vasopressor for persistent hypotension.</w:t>
      </w:r>
    </w:p>
    <w:p w14:paraId="7CE2FF6D" w14:textId="15F54C5A" w:rsidR="00493CEC" w:rsidRPr="00592307" w:rsidRDefault="00000000" w:rsidP="002866C7">
      <w:pPr>
        <w:spacing w:line="480" w:lineRule="auto"/>
        <w:ind w:firstLine="720"/>
        <w:jc w:val="both"/>
        <w:rPr>
          <w:sz w:val="24"/>
          <w:szCs w:val="24"/>
        </w:rPr>
      </w:pPr>
      <w:r w:rsidRPr="00592307">
        <w:rPr>
          <w:sz w:val="24"/>
          <w:szCs w:val="24"/>
        </w:rPr>
        <w:t xml:space="preserve">SEP-1 compliance rate of Virtua Willingboro Hospital was about 55 percent following the Medicare Care Compare data, compared with about 58 percent in the state and about 60 percent nationally. According to Monti et al. (2023), full adherence </w:t>
      </w:r>
      <w:r w:rsidR="002866C7" w:rsidRPr="00592307">
        <w:rPr>
          <w:sz w:val="24"/>
          <w:szCs w:val="24"/>
        </w:rPr>
        <w:t>to the</w:t>
      </w:r>
      <w:r w:rsidRPr="00592307">
        <w:rPr>
          <w:sz w:val="24"/>
          <w:szCs w:val="24"/>
        </w:rPr>
        <w:t xml:space="preserve"> SEP-1 protocol leads to a decrease in mortality, </w:t>
      </w:r>
      <w:r w:rsidR="002866C7" w:rsidRPr="00592307">
        <w:rPr>
          <w:sz w:val="24"/>
          <w:szCs w:val="24"/>
        </w:rPr>
        <w:t xml:space="preserve">short </w:t>
      </w:r>
      <w:r w:rsidRPr="00592307">
        <w:rPr>
          <w:sz w:val="24"/>
          <w:szCs w:val="24"/>
        </w:rPr>
        <w:t xml:space="preserve">hospital </w:t>
      </w:r>
      <w:r w:rsidR="002866C7" w:rsidRPr="00592307">
        <w:rPr>
          <w:sz w:val="24"/>
          <w:szCs w:val="24"/>
        </w:rPr>
        <w:t xml:space="preserve">stays, </w:t>
      </w:r>
      <w:r w:rsidRPr="00592307">
        <w:rPr>
          <w:sz w:val="24"/>
          <w:szCs w:val="24"/>
        </w:rPr>
        <w:t xml:space="preserve">and </w:t>
      </w:r>
      <w:r w:rsidR="002866C7" w:rsidRPr="00592307">
        <w:rPr>
          <w:sz w:val="24"/>
          <w:szCs w:val="24"/>
        </w:rPr>
        <w:t xml:space="preserve">low </w:t>
      </w:r>
      <w:r w:rsidRPr="00592307">
        <w:rPr>
          <w:sz w:val="24"/>
          <w:szCs w:val="24"/>
        </w:rPr>
        <w:t xml:space="preserve">healthcare </w:t>
      </w:r>
      <w:r w:rsidR="002866C7" w:rsidRPr="00592307">
        <w:rPr>
          <w:sz w:val="24"/>
          <w:szCs w:val="24"/>
        </w:rPr>
        <w:t>costs</w:t>
      </w:r>
      <w:r w:rsidRPr="00592307">
        <w:rPr>
          <w:sz w:val="24"/>
          <w:szCs w:val="24"/>
        </w:rPr>
        <w:t xml:space="preserve"> among sepsis patients. Anything missing, </w:t>
      </w:r>
      <w:r w:rsidR="002866C7" w:rsidRPr="00592307">
        <w:rPr>
          <w:sz w:val="24"/>
          <w:szCs w:val="24"/>
        </w:rPr>
        <w:t>even if it is a single</w:t>
      </w:r>
      <w:r w:rsidRPr="00592307">
        <w:rPr>
          <w:sz w:val="24"/>
          <w:szCs w:val="24"/>
        </w:rPr>
        <w:t xml:space="preserve"> bundle </w:t>
      </w:r>
      <w:r w:rsidR="002866C7" w:rsidRPr="00592307">
        <w:rPr>
          <w:sz w:val="24"/>
          <w:szCs w:val="24"/>
        </w:rPr>
        <w:t>character, characterize</w:t>
      </w:r>
      <w:r w:rsidR="00D834DA">
        <w:rPr>
          <w:sz w:val="24"/>
          <w:szCs w:val="24"/>
        </w:rPr>
        <w:t>s</w:t>
      </w:r>
      <w:r w:rsidR="002866C7" w:rsidRPr="00592307">
        <w:rPr>
          <w:sz w:val="24"/>
          <w:szCs w:val="24"/>
        </w:rPr>
        <w:t xml:space="preserve"> noncompliance</w:t>
      </w:r>
      <w:r w:rsidRPr="00592307">
        <w:rPr>
          <w:sz w:val="24"/>
          <w:szCs w:val="24"/>
        </w:rPr>
        <w:t xml:space="preserve"> per the CMS standard, and this is where it is worth noting </w:t>
      </w:r>
      <w:r w:rsidR="002866C7" w:rsidRPr="00592307">
        <w:rPr>
          <w:sz w:val="24"/>
          <w:szCs w:val="24"/>
        </w:rPr>
        <w:t>how</w:t>
      </w:r>
      <w:r w:rsidRPr="00592307">
        <w:rPr>
          <w:sz w:val="24"/>
          <w:szCs w:val="24"/>
        </w:rPr>
        <w:t xml:space="preserve"> full compliance may be </w:t>
      </w:r>
      <w:r w:rsidR="002866C7" w:rsidRPr="00592307">
        <w:rPr>
          <w:sz w:val="24"/>
          <w:szCs w:val="24"/>
        </w:rPr>
        <w:t>demanding</w:t>
      </w:r>
      <w:r w:rsidRPr="00592307">
        <w:rPr>
          <w:sz w:val="24"/>
          <w:szCs w:val="24"/>
        </w:rPr>
        <w:t>.</w:t>
      </w:r>
    </w:p>
    <w:p w14:paraId="32EEF93E" w14:textId="0182B685" w:rsidR="00493CEC" w:rsidRPr="00592307" w:rsidRDefault="00000000" w:rsidP="002866C7">
      <w:pPr>
        <w:spacing w:line="480" w:lineRule="auto"/>
        <w:jc w:val="center"/>
        <w:rPr>
          <w:sz w:val="24"/>
          <w:szCs w:val="24"/>
        </w:rPr>
      </w:pPr>
      <w:r w:rsidRPr="00592307">
        <w:rPr>
          <w:b/>
          <w:bCs/>
          <w:sz w:val="24"/>
          <w:szCs w:val="24"/>
        </w:rPr>
        <w:t>Importance of the Sepsis Care Measure</w:t>
      </w:r>
    </w:p>
    <w:p w14:paraId="61CD0121" w14:textId="630899A4" w:rsidR="00592307" w:rsidRPr="00592307" w:rsidRDefault="00000000" w:rsidP="00592307">
      <w:pPr>
        <w:spacing w:line="480" w:lineRule="auto"/>
        <w:ind w:firstLine="720"/>
        <w:jc w:val="both"/>
        <w:rPr>
          <w:sz w:val="24"/>
          <w:szCs w:val="24"/>
        </w:rPr>
      </w:pPr>
      <w:r w:rsidRPr="00592307">
        <w:rPr>
          <w:sz w:val="24"/>
          <w:szCs w:val="24"/>
        </w:rPr>
        <w:t xml:space="preserve">According to the CDC (2024), an estimated 1.7 million adults and over 18,000 children develop sepsis in America every year. At least 350,000 adults and more than 1,800 children who develop sepsis die during hospitalization or are discharged to hospice. 1 in every 3 adults who die in a hospital had developed sepsis during their hospital stay. </w:t>
      </w:r>
      <w:r w:rsidR="002866C7" w:rsidRPr="00592307">
        <w:rPr>
          <w:sz w:val="24"/>
          <w:szCs w:val="24"/>
        </w:rPr>
        <w:t xml:space="preserve">This represents the greatest expense per inpatient of any disease, so this measure is important on three interrelated levels. </w:t>
      </w:r>
    </w:p>
    <w:p w14:paraId="69E0E566" w14:textId="7A531EAE" w:rsidR="00493CEC" w:rsidRPr="00592307" w:rsidRDefault="00000000" w:rsidP="00592307">
      <w:pPr>
        <w:spacing w:line="480" w:lineRule="auto"/>
        <w:ind w:firstLine="720"/>
        <w:jc w:val="both"/>
        <w:rPr>
          <w:sz w:val="24"/>
          <w:szCs w:val="24"/>
        </w:rPr>
      </w:pPr>
      <w:r w:rsidRPr="00592307">
        <w:rPr>
          <w:sz w:val="24"/>
          <w:szCs w:val="24"/>
        </w:rPr>
        <w:t>First, patient safety: early, timely, and pro</w:t>
      </w:r>
      <w:r w:rsidR="00571274" w:rsidRPr="00592307">
        <w:rPr>
          <w:sz w:val="24"/>
          <w:szCs w:val="24"/>
        </w:rPr>
        <w:t>tocol</w:t>
      </w:r>
      <w:r w:rsidRPr="00592307">
        <w:rPr>
          <w:sz w:val="24"/>
          <w:szCs w:val="24"/>
        </w:rPr>
        <w:t xml:space="preserve">-based </w:t>
      </w:r>
      <w:r w:rsidR="00571274" w:rsidRPr="00592307">
        <w:rPr>
          <w:sz w:val="24"/>
          <w:szCs w:val="24"/>
        </w:rPr>
        <w:t>treatment</w:t>
      </w:r>
      <w:r w:rsidRPr="00592307">
        <w:rPr>
          <w:sz w:val="24"/>
          <w:szCs w:val="24"/>
        </w:rPr>
        <w:t xml:space="preserve"> will directly reduce organ failure and mortality, and low performance will subject vulnerable patients to unnecessary risk of </w:t>
      </w:r>
      <w:r w:rsidRPr="00592307">
        <w:rPr>
          <w:sz w:val="24"/>
          <w:szCs w:val="24"/>
        </w:rPr>
        <w:lastRenderedPageBreak/>
        <w:t>serious trauma or loss (Bolte et al., 2022).</w:t>
      </w:r>
      <w:r w:rsidR="00592307" w:rsidRPr="00592307">
        <w:rPr>
          <w:sz w:val="24"/>
          <w:szCs w:val="24"/>
        </w:rPr>
        <w:t xml:space="preserve"> </w:t>
      </w:r>
      <w:r w:rsidRPr="00592307">
        <w:rPr>
          <w:sz w:val="24"/>
          <w:szCs w:val="24"/>
        </w:rPr>
        <w:t xml:space="preserve">Second, accreditation: The Joint Commission (TJC) compares hospitals to evidence-based care standards that are in line with SEP-1 standards, and low scores on the system repeatedly may compromise the accreditation status of a hospital via the ORYX performance measurement system (The Joint Commission, 2025). Third, financial performance: CMS has introduced SEP-1 in the Hospital Value-Based Purchasing program and directly correlated compliance with reimbursement incentives and penalties. Hospitals that are not meeting pre-determined levels would have their Medicare payment rates reduced, which would constitute a powerful financial incentive for their </w:t>
      </w:r>
      <w:r w:rsidR="00571274" w:rsidRPr="00592307">
        <w:rPr>
          <w:sz w:val="24"/>
          <w:szCs w:val="24"/>
        </w:rPr>
        <w:t xml:space="preserve">continuous </w:t>
      </w:r>
      <w:r w:rsidRPr="00592307">
        <w:rPr>
          <w:sz w:val="24"/>
          <w:szCs w:val="24"/>
        </w:rPr>
        <w:t>improvement.</w:t>
      </w:r>
    </w:p>
    <w:p w14:paraId="2CBE28D0" w14:textId="087E4E89" w:rsidR="00493CEC" w:rsidRPr="00592307" w:rsidRDefault="00000000" w:rsidP="00571274">
      <w:pPr>
        <w:spacing w:line="480" w:lineRule="auto"/>
        <w:jc w:val="center"/>
        <w:rPr>
          <w:sz w:val="24"/>
          <w:szCs w:val="24"/>
        </w:rPr>
      </w:pPr>
      <w:r w:rsidRPr="00592307">
        <w:rPr>
          <w:b/>
          <w:bCs/>
          <w:sz w:val="24"/>
          <w:szCs w:val="24"/>
        </w:rPr>
        <w:t>SMART Goals</w:t>
      </w:r>
    </w:p>
    <w:p w14:paraId="5F6E3CEF" w14:textId="180B4971" w:rsidR="00493CEC" w:rsidRPr="00592307" w:rsidRDefault="00000000" w:rsidP="00571274">
      <w:pPr>
        <w:spacing w:line="480" w:lineRule="auto"/>
        <w:ind w:firstLine="720"/>
        <w:jc w:val="both"/>
        <w:rPr>
          <w:sz w:val="24"/>
          <w:szCs w:val="24"/>
        </w:rPr>
      </w:pPr>
      <w:r w:rsidRPr="00592307">
        <w:rPr>
          <w:sz w:val="24"/>
          <w:szCs w:val="24"/>
        </w:rPr>
        <w:t>To address this gap, three SMART goals are proposed:</w:t>
      </w:r>
    </w:p>
    <w:p w14:paraId="46435D95" w14:textId="3B88C5D0" w:rsidR="00931DEC" w:rsidRPr="00592307" w:rsidRDefault="00000000" w:rsidP="00931DEC">
      <w:pPr>
        <w:spacing w:line="480" w:lineRule="auto"/>
        <w:ind w:firstLine="720"/>
        <w:jc w:val="both"/>
        <w:rPr>
          <w:sz w:val="24"/>
          <w:szCs w:val="24"/>
        </w:rPr>
      </w:pPr>
      <w:r w:rsidRPr="00592307">
        <w:rPr>
          <w:sz w:val="24"/>
          <w:szCs w:val="24"/>
        </w:rPr>
        <w:t>Goal 1: By May 31, 2027, in accordance with CMS quarterly reporting, goal 1 will be to increase the SEP-1 bundles compliance rate from 55 percent to at least 65 percent at Virtua Willingboro Hospital. This objective is specific (SEP-1 compliance), measurable (CMS data), attainable based on parallel improvement initiatives, relevant to patient safety and reimbursement, and within time frames</w:t>
      </w:r>
      <w:r w:rsidR="00592307" w:rsidRPr="00592307">
        <w:rPr>
          <w:sz w:val="24"/>
          <w:szCs w:val="24"/>
        </w:rPr>
        <w:t xml:space="preserve"> (Nassem, 2025)</w:t>
      </w:r>
      <w:r w:rsidRPr="00592307">
        <w:rPr>
          <w:sz w:val="24"/>
          <w:szCs w:val="24"/>
        </w:rPr>
        <w:t>.</w:t>
      </w:r>
    </w:p>
    <w:p w14:paraId="7FB21F36" w14:textId="47C97258" w:rsidR="00571274" w:rsidRPr="00592307" w:rsidRDefault="00000000" w:rsidP="00931DEC">
      <w:pPr>
        <w:spacing w:line="480" w:lineRule="auto"/>
        <w:ind w:firstLine="720"/>
        <w:jc w:val="both"/>
        <w:rPr>
          <w:sz w:val="24"/>
          <w:szCs w:val="24"/>
        </w:rPr>
      </w:pPr>
      <w:r w:rsidRPr="00592307">
        <w:rPr>
          <w:sz w:val="24"/>
          <w:szCs w:val="24"/>
        </w:rPr>
        <w:t xml:space="preserve">Goal 2: To adopt an EMR-based sepsis alert and standardized order set in all clinical units by December 31, 2026, with at least 90 percent of the eligible cases </w:t>
      </w:r>
      <w:r w:rsidR="00592307" w:rsidRPr="00592307">
        <w:rPr>
          <w:sz w:val="24"/>
          <w:szCs w:val="24"/>
        </w:rPr>
        <w:t>triggering</w:t>
      </w:r>
      <w:r w:rsidRPr="00592307">
        <w:rPr>
          <w:sz w:val="24"/>
          <w:szCs w:val="24"/>
        </w:rPr>
        <w:t xml:space="preserve"> a documented sepsis alert within 1 hour of meeting the diagnostic criteria, which directly address early recognition failures most frequently linked with SEP-1 noncompliance (Biederman et al., 2024).</w:t>
      </w:r>
    </w:p>
    <w:p w14:paraId="5E84FE5E" w14:textId="6A2CAA3D" w:rsidR="00931DEC" w:rsidRPr="00592307" w:rsidRDefault="00000000" w:rsidP="00931DEC">
      <w:pPr>
        <w:spacing w:line="480" w:lineRule="auto"/>
        <w:ind w:firstLine="720"/>
        <w:jc w:val="both"/>
        <w:rPr>
          <w:sz w:val="24"/>
          <w:szCs w:val="24"/>
        </w:rPr>
      </w:pPr>
      <w:r w:rsidRPr="00592307">
        <w:rPr>
          <w:sz w:val="24"/>
          <w:szCs w:val="24"/>
        </w:rPr>
        <w:t xml:space="preserve">Goal 3: By September 30, 2026, a standard of learning management system records, with 85% of all nurses and physicians in the emergency department, shall have successfully passed a post-training assessment, which will aim at closing knowledge gaps in the staff that drive </w:t>
      </w:r>
      <w:r w:rsidRPr="00592307">
        <w:rPr>
          <w:sz w:val="24"/>
          <w:szCs w:val="24"/>
        </w:rPr>
        <w:lastRenderedPageBreak/>
        <w:t>inconsistent activation of the bundle, achieving 100 percent completion of a standard sepsis education module among all emergency department nurses and physicians.</w:t>
      </w:r>
    </w:p>
    <w:p w14:paraId="5291F582" w14:textId="4E8BE3F7" w:rsidR="00493CEC" w:rsidRPr="00592307" w:rsidRDefault="00000000" w:rsidP="00931DEC">
      <w:pPr>
        <w:spacing w:line="480" w:lineRule="auto"/>
        <w:jc w:val="center"/>
        <w:rPr>
          <w:sz w:val="24"/>
          <w:szCs w:val="24"/>
        </w:rPr>
      </w:pPr>
      <w:r w:rsidRPr="00592307">
        <w:rPr>
          <w:b/>
          <w:bCs/>
          <w:sz w:val="24"/>
          <w:szCs w:val="24"/>
        </w:rPr>
        <w:t>Policy and Regulatory Analysis</w:t>
      </w:r>
    </w:p>
    <w:p w14:paraId="26BAFB42" w14:textId="1505D73E" w:rsidR="00493CEC" w:rsidRPr="00592307" w:rsidRDefault="00000000" w:rsidP="00A85099">
      <w:pPr>
        <w:spacing w:line="480" w:lineRule="auto"/>
        <w:ind w:firstLine="720"/>
        <w:jc w:val="both"/>
        <w:rPr>
          <w:sz w:val="24"/>
          <w:szCs w:val="24"/>
        </w:rPr>
      </w:pPr>
      <w:r w:rsidRPr="00592307">
        <w:rPr>
          <w:sz w:val="24"/>
          <w:szCs w:val="24"/>
        </w:rPr>
        <w:t>Virtua Willingboro is informed by several policy frameworks that inform quality improvement of sepsis. SEP-1 reporting is now mandated at the federal level as part of the fiscal year 2017 and 2024 Inpatient Prospective Payment System (IPPS) rule by the CMS, which has included SEP-1 as a pay-for-performance measure as a part of the VBP program, establishing financial incentives for improvements. TJC ORYX program (that will become effective January 2026) requires hospitals with accreditation to submit eCQM data and demonstrate systemic quality improvement activity, and its new National Performance Goals framework (which will replace the National Patient Safety Goals) expects hospitals to close outcome gaps across patient groups, particularly relevant since Virtua Willingboro has a diverse community (The Joint Commission, 2025).</w:t>
      </w:r>
      <w:r w:rsidR="0002428C" w:rsidRPr="00592307">
        <w:rPr>
          <w:sz w:val="24"/>
          <w:szCs w:val="24"/>
        </w:rPr>
        <w:t xml:space="preserve"> </w:t>
      </w:r>
      <w:r w:rsidRPr="00592307">
        <w:rPr>
          <w:sz w:val="24"/>
          <w:szCs w:val="24"/>
        </w:rPr>
        <w:t xml:space="preserve">At the clinical evidence level, the Surviving Sepsis Campaign </w:t>
      </w:r>
      <w:r w:rsidR="00C534A9" w:rsidRPr="00592307">
        <w:rPr>
          <w:sz w:val="24"/>
          <w:szCs w:val="24"/>
        </w:rPr>
        <w:t>guidelines support</w:t>
      </w:r>
      <w:r w:rsidRPr="00592307">
        <w:rPr>
          <w:sz w:val="24"/>
          <w:szCs w:val="24"/>
        </w:rPr>
        <w:t xml:space="preserve"> the one-hour bundle approach, which has replaced the previous three- and six-hour bundles with an </w:t>
      </w:r>
      <w:r w:rsidR="00C534A9" w:rsidRPr="00592307">
        <w:rPr>
          <w:sz w:val="24"/>
          <w:szCs w:val="24"/>
        </w:rPr>
        <w:t>acce</w:t>
      </w:r>
      <w:r w:rsidR="0002428C" w:rsidRPr="00592307">
        <w:rPr>
          <w:sz w:val="24"/>
          <w:szCs w:val="24"/>
        </w:rPr>
        <w:t>lerated</w:t>
      </w:r>
      <w:r w:rsidRPr="00592307">
        <w:rPr>
          <w:sz w:val="24"/>
          <w:szCs w:val="24"/>
        </w:rPr>
        <w:t xml:space="preserve"> </w:t>
      </w:r>
      <w:r w:rsidR="0002428C" w:rsidRPr="00592307">
        <w:rPr>
          <w:sz w:val="24"/>
          <w:szCs w:val="24"/>
        </w:rPr>
        <w:t xml:space="preserve">protocol </w:t>
      </w:r>
      <w:r w:rsidRPr="00592307">
        <w:rPr>
          <w:sz w:val="24"/>
          <w:szCs w:val="24"/>
        </w:rPr>
        <w:t>(Monti et al., 2023). Finally, the public hospital performance data are also published by the New Jersey Department of Health, which imposes accountability at the consumer level, which further triggers improvement.</w:t>
      </w:r>
    </w:p>
    <w:p w14:paraId="0B222508" w14:textId="29756CCC" w:rsidR="00493CEC" w:rsidRPr="00592307" w:rsidRDefault="00000000" w:rsidP="00A85099">
      <w:pPr>
        <w:spacing w:line="480" w:lineRule="auto"/>
        <w:jc w:val="center"/>
        <w:rPr>
          <w:sz w:val="24"/>
          <w:szCs w:val="24"/>
        </w:rPr>
      </w:pPr>
      <w:r w:rsidRPr="00592307">
        <w:rPr>
          <w:b/>
          <w:bCs/>
          <w:sz w:val="24"/>
          <w:szCs w:val="24"/>
        </w:rPr>
        <w:t>Conclusion</w:t>
      </w:r>
    </w:p>
    <w:p w14:paraId="390F8B0D" w14:textId="519507E5" w:rsidR="00A85099" w:rsidRPr="00592307" w:rsidRDefault="00000000" w:rsidP="00A85099">
      <w:pPr>
        <w:spacing w:line="480" w:lineRule="auto"/>
        <w:ind w:firstLine="720"/>
        <w:jc w:val="both"/>
        <w:rPr>
          <w:sz w:val="24"/>
          <w:szCs w:val="24"/>
        </w:rPr>
      </w:pPr>
      <w:r w:rsidRPr="00592307">
        <w:rPr>
          <w:sz w:val="24"/>
          <w:szCs w:val="24"/>
        </w:rPr>
        <w:t xml:space="preserve">Virtua Willingboro Hospital has essential medical and surgical services that the South Jersey population in need could not have access to. However, it has a significant performance deficit in treating sepsis, with SEP-1 compliance rates being lower than those in both New Jersey and national benchmarks. This break is a critical patient safety concern, as well as the difficulties of accreditation integrity and the financial viability of the hospital under value-based payment </w:t>
      </w:r>
      <w:r w:rsidRPr="00592307">
        <w:rPr>
          <w:sz w:val="24"/>
          <w:szCs w:val="24"/>
        </w:rPr>
        <w:lastRenderedPageBreak/>
        <w:t>schemes. The suggested 3 SMART goals give an evidence-based, concrete roadmap on the way to advocate improvement that is based on CMS regulations, Joint Commission standards, Surviving Sepsis Campaign guidelines, and New Jersey's requirement to publicly report, which reflects the integrated approach that continuous quality improvement in healthcare requires.</w:t>
      </w:r>
    </w:p>
    <w:p w14:paraId="30A18ED7" w14:textId="77777777" w:rsidR="00A85099" w:rsidRPr="00592307" w:rsidRDefault="00A85099" w:rsidP="00A85099">
      <w:pPr>
        <w:spacing w:line="480" w:lineRule="auto"/>
        <w:ind w:firstLine="720"/>
        <w:jc w:val="both"/>
        <w:rPr>
          <w:sz w:val="24"/>
          <w:szCs w:val="24"/>
        </w:rPr>
      </w:pPr>
    </w:p>
    <w:p w14:paraId="4DEF66D4" w14:textId="77777777" w:rsidR="00493CEC" w:rsidRPr="00592307" w:rsidRDefault="00493CEC">
      <w:pPr>
        <w:spacing w:line="480" w:lineRule="auto"/>
        <w:rPr>
          <w:sz w:val="24"/>
          <w:szCs w:val="24"/>
        </w:rPr>
      </w:pPr>
    </w:p>
    <w:p w14:paraId="6414C701" w14:textId="77777777" w:rsidR="00D834DA" w:rsidRDefault="00D834DA" w:rsidP="003C066A">
      <w:pPr>
        <w:spacing w:line="480" w:lineRule="auto"/>
        <w:jc w:val="center"/>
        <w:rPr>
          <w:b/>
          <w:bCs/>
          <w:sz w:val="24"/>
          <w:szCs w:val="24"/>
        </w:rPr>
      </w:pPr>
    </w:p>
    <w:p w14:paraId="4416B863" w14:textId="77777777" w:rsidR="00D834DA" w:rsidRDefault="00D834DA" w:rsidP="003C066A">
      <w:pPr>
        <w:spacing w:line="480" w:lineRule="auto"/>
        <w:jc w:val="center"/>
        <w:rPr>
          <w:b/>
          <w:bCs/>
          <w:sz w:val="24"/>
          <w:szCs w:val="24"/>
        </w:rPr>
      </w:pPr>
    </w:p>
    <w:p w14:paraId="128F8AC5" w14:textId="77777777" w:rsidR="00D834DA" w:rsidRDefault="00D834DA" w:rsidP="003C066A">
      <w:pPr>
        <w:spacing w:line="480" w:lineRule="auto"/>
        <w:jc w:val="center"/>
        <w:rPr>
          <w:b/>
          <w:bCs/>
          <w:sz w:val="24"/>
          <w:szCs w:val="24"/>
        </w:rPr>
      </w:pPr>
    </w:p>
    <w:p w14:paraId="4341DAB2" w14:textId="77777777" w:rsidR="00D834DA" w:rsidRDefault="00D834DA" w:rsidP="003C066A">
      <w:pPr>
        <w:spacing w:line="480" w:lineRule="auto"/>
        <w:jc w:val="center"/>
        <w:rPr>
          <w:b/>
          <w:bCs/>
          <w:sz w:val="24"/>
          <w:szCs w:val="24"/>
        </w:rPr>
      </w:pPr>
    </w:p>
    <w:p w14:paraId="6BB21FC1" w14:textId="77777777" w:rsidR="00D834DA" w:rsidRDefault="00D834DA" w:rsidP="003C066A">
      <w:pPr>
        <w:spacing w:line="480" w:lineRule="auto"/>
        <w:jc w:val="center"/>
        <w:rPr>
          <w:b/>
          <w:bCs/>
          <w:sz w:val="24"/>
          <w:szCs w:val="24"/>
        </w:rPr>
      </w:pPr>
    </w:p>
    <w:p w14:paraId="5FC62E74" w14:textId="77777777" w:rsidR="00D834DA" w:rsidRDefault="00D834DA" w:rsidP="003C066A">
      <w:pPr>
        <w:spacing w:line="480" w:lineRule="auto"/>
        <w:jc w:val="center"/>
        <w:rPr>
          <w:b/>
          <w:bCs/>
          <w:sz w:val="24"/>
          <w:szCs w:val="24"/>
        </w:rPr>
      </w:pPr>
    </w:p>
    <w:p w14:paraId="464F1E0E" w14:textId="77777777" w:rsidR="00D834DA" w:rsidRDefault="00D834DA" w:rsidP="003C066A">
      <w:pPr>
        <w:spacing w:line="480" w:lineRule="auto"/>
        <w:jc w:val="center"/>
        <w:rPr>
          <w:b/>
          <w:bCs/>
          <w:sz w:val="24"/>
          <w:szCs w:val="24"/>
        </w:rPr>
      </w:pPr>
    </w:p>
    <w:p w14:paraId="25BDBA0F" w14:textId="77777777" w:rsidR="00D834DA" w:rsidRDefault="00D834DA" w:rsidP="003C066A">
      <w:pPr>
        <w:spacing w:line="480" w:lineRule="auto"/>
        <w:jc w:val="center"/>
        <w:rPr>
          <w:b/>
          <w:bCs/>
          <w:sz w:val="24"/>
          <w:szCs w:val="24"/>
        </w:rPr>
      </w:pPr>
    </w:p>
    <w:p w14:paraId="22EFDCF8" w14:textId="77777777" w:rsidR="00D834DA" w:rsidRDefault="00D834DA" w:rsidP="003C066A">
      <w:pPr>
        <w:spacing w:line="480" w:lineRule="auto"/>
        <w:jc w:val="center"/>
        <w:rPr>
          <w:b/>
          <w:bCs/>
          <w:sz w:val="24"/>
          <w:szCs w:val="24"/>
        </w:rPr>
      </w:pPr>
    </w:p>
    <w:p w14:paraId="0CD8E02D" w14:textId="77777777" w:rsidR="00D834DA" w:rsidRDefault="00D834DA" w:rsidP="003C066A">
      <w:pPr>
        <w:spacing w:line="480" w:lineRule="auto"/>
        <w:jc w:val="center"/>
        <w:rPr>
          <w:b/>
          <w:bCs/>
          <w:sz w:val="24"/>
          <w:szCs w:val="24"/>
        </w:rPr>
      </w:pPr>
    </w:p>
    <w:p w14:paraId="2A2E405B" w14:textId="77777777" w:rsidR="00D834DA" w:rsidRDefault="00D834DA" w:rsidP="003C066A">
      <w:pPr>
        <w:spacing w:line="480" w:lineRule="auto"/>
        <w:jc w:val="center"/>
        <w:rPr>
          <w:b/>
          <w:bCs/>
          <w:sz w:val="24"/>
          <w:szCs w:val="24"/>
        </w:rPr>
      </w:pPr>
    </w:p>
    <w:p w14:paraId="655F19E1" w14:textId="77777777" w:rsidR="00D834DA" w:rsidRDefault="00D834DA" w:rsidP="003C066A">
      <w:pPr>
        <w:spacing w:line="480" w:lineRule="auto"/>
        <w:jc w:val="center"/>
        <w:rPr>
          <w:b/>
          <w:bCs/>
          <w:sz w:val="24"/>
          <w:szCs w:val="24"/>
        </w:rPr>
      </w:pPr>
    </w:p>
    <w:p w14:paraId="5D9E54CB" w14:textId="77777777" w:rsidR="00D834DA" w:rsidRDefault="00D834DA" w:rsidP="003C066A">
      <w:pPr>
        <w:spacing w:line="480" w:lineRule="auto"/>
        <w:jc w:val="center"/>
        <w:rPr>
          <w:b/>
          <w:bCs/>
          <w:sz w:val="24"/>
          <w:szCs w:val="24"/>
        </w:rPr>
      </w:pPr>
    </w:p>
    <w:p w14:paraId="7711554D" w14:textId="77777777" w:rsidR="00D834DA" w:rsidRDefault="00D834DA" w:rsidP="003C066A">
      <w:pPr>
        <w:spacing w:line="480" w:lineRule="auto"/>
        <w:jc w:val="center"/>
        <w:rPr>
          <w:b/>
          <w:bCs/>
          <w:sz w:val="24"/>
          <w:szCs w:val="24"/>
        </w:rPr>
      </w:pPr>
    </w:p>
    <w:p w14:paraId="4789551E" w14:textId="77777777" w:rsidR="00D834DA" w:rsidRDefault="00D834DA" w:rsidP="003C066A">
      <w:pPr>
        <w:spacing w:line="480" w:lineRule="auto"/>
        <w:jc w:val="center"/>
        <w:rPr>
          <w:b/>
          <w:bCs/>
          <w:sz w:val="24"/>
          <w:szCs w:val="24"/>
        </w:rPr>
      </w:pPr>
    </w:p>
    <w:p w14:paraId="7BB0A9A0" w14:textId="77777777" w:rsidR="00D834DA" w:rsidRDefault="00D834DA" w:rsidP="003C066A">
      <w:pPr>
        <w:spacing w:line="480" w:lineRule="auto"/>
        <w:jc w:val="center"/>
        <w:rPr>
          <w:b/>
          <w:bCs/>
          <w:sz w:val="24"/>
          <w:szCs w:val="24"/>
        </w:rPr>
      </w:pPr>
    </w:p>
    <w:p w14:paraId="13608AD2" w14:textId="77777777" w:rsidR="00D834DA" w:rsidRDefault="00D834DA" w:rsidP="003C066A">
      <w:pPr>
        <w:spacing w:line="480" w:lineRule="auto"/>
        <w:jc w:val="center"/>
        <w:rPr>
          <w:b/>
          <w:bCs/>
          <w:sz w:val="24"/>
          <w:szCs w:val="24"/>
        </w:rPr>
      </w:pPr>
    </w:p>
    <w:p w14:paraId="61DD50A1" w14:textId="43684D0C" w:rsidR="003C066A" w:rsidRPr="00592307" w:rsidRDefault="00000000" w:rsidP="003C066A">
      <w:pPr>
        <w:spacing w:line="480" w:lineRule="auto"/>
        <w:jc w:val="center"/>
        <w:rPr>
          <w:sz w:val="24"/>
          <w:szCs w:val="24"/>
        </w:rPr>
      </w:pPr>
      <w:r w:rsidRPr="00592307">
        <w:rPr>
          <w:b/>
          <w:bCs/>
          <w:sz w:val="24"/>
          <w:szCs w:val="24"/>
        </w:rPr>
        <w:lastRenderedPageBreak/>
        <w:t>References</w:t>
      </w:r>
    </w:p>
    <w:p w14:paraId="3E51356F" w14:textId="77777777" w:rsidR="00D834DA" w:rsidRPr="00592307" w:rsidRDefault="00000000" w:rsidP="005F489D">
      <w:pPr>
        <w:spacing w:line="480" w:lineRule="auto"/>
        <w:ind w:left="720" w:hanging="720"/>
        <w:jc w:val="both"/>
        <w:rPr>
          <w:sz w:val="24"/>
          <w:szCs w:val="24"/>
        </w:rPr>
      </w:pPr>
      <w:r w:rsidRPr="00592307">
        <w:rPr>
          <w:sz w:val="24"/>
          <w:szCs w:val="24"/>
        </w:rPr>
        <w:t xml:space="preserve">Biederman, S., Batheja, A., Bednar, S., Orange, C., Hicks, A., Miller, S., ... &amp; Bearman, G. (2024). Toward Standardization and High Reliability: Improved Sepsis Screening in Emergency Department Triage Across an Academic Health System. The Joint Commission Journal on Quality and Patient Safety, 50(11), 809–816. </w:t>
      </w:r>
      <w:hyperlink r:id="rId8" w:history="1">
        <w:r w:rsidR="00D834DA" w:rsidRPr="00592307">
          <w:rPr>
            <w:rStyle w:val="Hyperlink"/>
            <w:sz w:val="24"/>
            <w:szCs w:val="24"/>
          </w:rPr>
          <w:t>https://doi.org/10.1016/j.jcjq.2024.07.003</w:t>
        </w:r>
      </w:hyperlink>
      <w:r w:rsidRPr="00592307">
        <w:rPr>
          <w:sz w:val="24"/>
          <w:szCs w:val="24"/>
        </w:rPr>
        <w:t xml:space="preserve"> </w:t>
      </w:r>
    </w:p>
    <w:p w14:paraId="4C7BC93A" w14:textId="77777777" w:rsidR="00D834DA" w:rsidRPr="00592307" w:rsidRDefault="00000000" w:rsidP="003C066A">
      <w:pPr>
        <w:spacing w:line="480" w:lineRule="auto"/>
        <w:ind w:left="720" w:hanging="720"/>
        <w:jc w:val="both"/>
        <w:rPr>
          <w:sz w:val="24"/>
          <w:szCs w:val="24"/>
        </w:rPr>
      </w:pPr>
      <w:r w:rsidRPr="00592307">
        <w:rPr>
          <w:sz w:val="24"/>
          <w:szCs w:val="24"/>
        </w:rPr>
        <w:t xml:space="preserve">Bolte, T. B., Swanson, M. B., Kaldjian, A. M., Mohr, N. M., McDanel, J., &amp; Ahmed, A. (2022). Hospitals that report severe sepsis and septic shock bundle compliance have more structured sepsis performance improvement. Journal of Patient Safety, 18(8), e1231–e1236. </w:t>
      </w:r>
      <w:hyperlink r:id="rId9" w:history="1">
        <w:r w:rsidR="00D834DA" w:rsidRPr="00592307">
          <w:rPr>
            <w:rStyle w:val="Hyperlink"/>
            <w:sz w:val="24"/>
            <w:szCs w:val="24"/>
          </w:rPr>
          <w:t>https://doi.org/10.1097/PTS.0000000000001062</w:t>
        </w:r>
      </w:hyperlink>
    </w:p>
    <w:p w14:paraId="43E3911C" w14:textId="77777777" w:rsidR="00D834DA" w:rsidRPr="00592307" w:rsidRDefault="00000000" w:rsidP="00592307">
      <w:pPr>
        <w:spacing w:line="480" w:lineRule="auto"/>
        <w:ind w:left="720" w:hanging="720"/>
        <w:jc w:val="both"/>
        <w:rPr>
          <w:sz w:val="24"/>
          <w:szCs w:val="24"/>
        </w:rPr>
      </w:pPr>
      <w:r w:rsidRPr="00592307">
        <w:rPr>
          <w:sz w:val="24"/>
          <w:szCs w:val="24"/>
        </w:rPr>
        <w:t xml:space="preserve">CDC. (2024). </w:t>
      </w:r>
      <w:r w:rsidRPr="00592307">
        <w:rPr>
          <w:i/>
          <w:iCs/>
          <w:sz w:val="24"/>
          <w:szCs w:val="24"/>
        </w:rPr>
        <w:t>About sepsis</w:t>
      </w:r>
      <w:r w:rsidRPr="00592307">
        <w:rPr>
          <w:sz w:val="24"/>
          <w:szCs w:val="24"/>
        </w:rPr>
        <w:t xml:space="preserve">. Sepsis. </w:t>
      </w:r>
      <w:hyperlink r:id="rId10" w:history="1">
        <w:r w:rsidR="00D834DA" w:rsidRPr="00592307">
          <w:rPr>
            <w:rStyle w:val="Hyperlink"/>
            <w:sz w:val="24"/>
            <w:szCs w:val="24"/>
          </w:rPr>
          <w:t>https://www.cdc.gov/sepsis/about/index.html</w:t>
        </w:r>
      </w:hyperlink>
      <w:r w:rsidRPr="00592307">
        <w:rPr>
          <w:sz w:val="24"/>
          <w:szCs w:val="24"/>
        </w:rPr>
        <w:t xml:space="preserve"> </w:t>
      </w:r>
    </w:p>
    <w:p w14:paraId="0C42AD40" w14:textId="77777777" w:rsidR="00D834DA" w:rsidRPr="00592307" w:rsidRDefault="00000000" w:rsidP="003C066A">
      <w:pPr>
        <w:spacing w:line="480" w:lineRule="auto"/>
        <w:ind w:left="720" w:hanging="720"/>
        <w:jc w:val="both"/>
        <w:rPr>
          <w:sz w:val="24"/>
          <w:szCs w:val="24"/>
        </w:rPr>
      </w:pPr>
      <w:r w:rsidRPr="00592307">
        <w:rPr>
          <w:sz w:val="24"/>
          <w:szCs w:val="24"/>
        </w:rPr>
        <w:t xml:space="preserve">Monti, G., Rezoagli, E., Calini, A., Nova, A., Marchesi, S., Nattino, G., Carrara, G., Morra, S., Cortellaro, F., Savioli, M., Capra Marzani, F., Tresoldi, M., Villa, P., Greco, S., Bonfanti, P., Spitoni, M. G., Vesconi, S., Caironi, P., &amp; Fumagalli, R. (2023). Effect of a quality improvement program on compliance with the sepsis bundle in non-ICU patients: A multicenter prospective before and after cohort study. Frontiers in Medicine, 10, 1215341. </w:t>
      </w:r>
      <w:hyperlink r:id="rId11" w:history="1">
        <w:r w:rsidR="00D834DA" w:rsidRPr="00592307">
          <w:rPr>
            <w:rStyle w:val="Hyperlink"/>
            <w:sz w:val="24"/>
            <w:szCs w:val="24"/>
          </w:rPr>
          <w:t>https://doi.org/10.3389/fmed.2023.1215341</w:t>
        </w:r>
      </w:hyperlink>
    </w:p>
    <w:p w14:paraId="74FD2E10" w14:textId="77777777" w:rsidR="00D834DA" w:rsidRPr="00592307" w:rsidRDefault="00000000" w:rsidP="003C066A">
      <w:pPr>
        <w:spacing w:line="480" w:lineRule="auto"/>
        <w:ind w:left="720" w:hanging="720"/>
        <w:jc w:val="both"/>
        <w:rPr>
          <w:sz w:val="24"/>
          <w:szCs w:val="24"/>
        </w:rPr>
      </w:pPr>
      <w:r w:rsidRPr="00592307">
        <w:rPr>
          <w:sz w:val="24"/>
          <w:szCs w:val="24"/>
        </w:rPr>
        <w:t xml:space="preserve">Nassem, A. (2025). Improving CMS SEP-1 sepsis bundle compliance with additional documentation measures. Open Access Emergency Medicine, 17, 001c.144142. </w:t>
      </w:r>
      <w:hyperlink r:id="rId12" w:history="1">
        <w:r w:rsidR="00D834DA" w:rsidRPr="00592307">
          <w:rPr>
            <w:rStyle w:val="Hyperlink"/>
            <w:sz w:val="24"/>
            <w:szCs w:val="24"/>
          </w:rPr>
          <w:t>https://doi.org/10.51894/001c.144142</w:t>
        </w:r>
      </w:hyperlink>
    </w:p>
    <w:p w14:paraId="2FDD1666" w14:textId="77777777" w:rsidR="00D834DA" w:rsidRPr="00592307" w:rsidRDefault="00000000" w:rsidP="005F489D">
      <w:pPr>
        <w:spacing w:line="480" w:lineRule="auto"/>
        <w:ind w:left="720" w:hanging="720"/>
        <w:jc w:val="both"/>
        <w:rPr>
          <w:sz w:val="24"/>
          <w:szCs w:val="24"/>
        </w:rPr>
      </w:pPr>
      <w:r w:rsidRPr="00592307">
        <w:rPr>
          <w:sz w:val="24"/>
          <w:szCs w:val="24"/>
        </w:rPr>
        <w:t xml:space="preserve">The Joint Commission. (2025). ORYX quality measurement trends and benchmarks reports. </w:t>
      </w:r>
      <w:hyperlink r:id="rId13" w:history="1">
        <w:r w:rsidR="00D834DA" w:rsidRPr="00592307">
          <w:rPr>
            <w:rStyle w:val="Hyperlink"/>
            <w:sz w:val="24"/>
            <w:szCs w:val="24"/>
          </w:rPr>
          <w:t>https://www.jointcommission.org</w:t>
        </w:r>
      </w:hyperlink>
    </w:p>
    <w:sectPr w:rsidR="00D834DA" w:rsidRPr="0059230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99178" w14:textId="77777777" w:rsidR="006D2DC6" w:rsidRDefault="006D2DC6">
      <w:r>
        <w:separator/>
      </w:r>
    </w:p>
  </w:endnote>
  <w:endnote w:type="continuationSeparator" w:id="0">
    <w:p w14:paraId="2B6F2A60" w14:textId="77777777" w:rsidR="006D2DC6" w:rsidRDefault="006D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C7C53" w14:textId="77777777" w:rsidR="006D2DC6" w:rsidRDefault="006D2DC6">
      <w:r>
        <w:separator/>
      </w:r>
    </w:p>
  </w:footnote>
  <w:footnote w:type="continuationSeparator" w:id="0">
    <w:p w14:paraId="7321DDE6" w14:textId="77777777" w:rsidR="006D2DC6" w:rsidRDefault="006D2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1910754343"/>
      <w:docPartObj>
        <w:docPartGallery w:val="Page Numbers (Top of Page)"/>
        <w:docPartUnique/>
      </w:docPartObj>
    </w:sdtPr>
    <w:sdtEndPr>
      <w:rPr>
        <w:noProof/>
      </w:rPr>
    </w:sdtEndPr>
    <w:sdtContent>
      <w:p w14:paraId="06092F38" w14:textId="7DD35A71" w:rsidR="00592307" w:rsidRPr="00592307" w:rsidRDefault="00000000" w:rsidP="00592307">
        <w:pPr>
          <w:pStyle w:val="Header"/>
          <w:jc w:val="right"/>
          <w:rPr>
            <w:sz w:val="24"/>
            <w:szCs w:val="24"/>
          </w:rPr>
        </w:pPr>
        <w:r w:rsidRPr="00592307">
          <w:rPr>
            <w:sz w:val="24"/>
            <w:szCs w:val="24"/>
          </w:rPr>
          <w:fldChar w:fldCharType="begin"/>
        </w:r>
        <w:r w:rsidRPr="00592307">
          <w:rPr>
            <w:sz w:val="24"/>
            <w:szCs w:val="24"/>
          </w:rPr>
          <w:instrText xml:space="preserve"> PAGE   \* MERGEFORMAT </w:instrText>
        </w:r>
        <w:r w:rsidRPr="00592307">
          <w:rPr>
            <w:sz w:val="24"/>
            <w:szCs w:val="24"/>
          </w:rPr>
          <w:fldChar w:fldCharType="separate"/>
        </w:r>
        <w:r w:rsidRPr="00592307">
          <w:rPr>
            <w:noProof/>
            <w:sz w:val="24"/>
            <w:szCs w:val="24"/>
          </w:rPr>
          <w:t>2</w:t>
        </w:r>
        <w:r w:rsidRPr="00592307">
          <w:rPr>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992F6E"/>
    <w:multiLevelType w:val="multilevel"/>
    <w:tmpl w:val="8EA8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EB82151"/>
    <w:multiLevelType w:val="hybridMultilevel"/>
    <w:tmpl w:val="F0B62BAC"/>
    <w:lvl w:ilvl="0" w:tplc="AC8CE3F8">
      <w:start w:val="1"/>
      <w:numFmt w:val="bullet"/>
      <w:lvlText w:val="●"/>
      <w:lvlJc w:val="left"/>
      <w:pPr>
        <w:ind w:left="720" w:hanging="360"/>
      </w:pPr>
    </w:lvl>
    <w:lvl w:ilvl="1" w:tplc="30B85E9A">
      <w:start w:val="1"/>
      <w:numFmt w:val="bullet"/>
      <w:lvlText w:val="○"/>
      <w:lvlJc w:val="left"/>
      <w:pPr>
        <w:ind w:left="1440" w:hanging="360"/>
      </w:pPr>
    </w:lvl>
    <w:lvl w:ilvl="2" w:tplc="D682D006">
      <w:start w:val="1"/>
      <w:numFmt w:val="bullet"/>
      <w:lvlText w:val="■"/>
      <w:lvlJc w:val="left"/>
      <w:pPr>
        <w:ind w:left="2160" w:hanging="360"/>
      </w:pPr>
    </w:lvl>
    <w:lvl w:ilvl="3" w:tplc="F0186D90">
      <w:start w:val="1"/>
      <w:numFmt w:val="bullet"/>
      <w:lvlText w:val="●"/>
      <w:lvlJc w:val="left"/>
      <w:pPr>
        <w:ind w:left="2880" w:hanging="360"/>
      </w:pPr>
    </w:lvl>
    <w:lvl w:ilvl="4" w:tplc="AEC41C9A">
      <w:start w:val="1"/>
      <w:numFmt w:val="bullet"/>
      <w:lvlText w:val="○"/>
      <w:lvlJc w:val="left"/>
      <w:pPr>
        <w:ind w:left="3600" w:hanging="360"/>
      </w:pPr>
    </w:lvl>
    <w:lvl w:ilvl="5" w:tplc="A0F0C566">
      <w:start w:val="1"/>
      <w:numFmt w:val="bullet"/>
      <w:lvlText w:val="■"/>
      <w:lvlJc w:val="left"/>
      <w:pPr>
        <w:ind w:left="4320" w:hanging="360"/>
      </w:pPr>
    </w:lvl>
    <w:lvl w:ilvl="6" w:tplc="58C61F40">
      <w:start w:val="1"/>
      <w:numFmt w:val="bullet"/>
      <w:lvlText w:val="●"/>
      <w:lvlJc w:val="left"/>
      <w:pPr>
        <w:ind w:left="5040" w:hanging="360"/>
      </w:pPr>
    </w:lvl>
    <w:lvl w:ilvl="7" w:tplc="31480150">
      <w:start w:val="1"/>
      <w:numFmt w:val="bullet"/>
      <w:lvlText w:val="●"/>
      <w:lvlJc w:val="left"/>
      <w:pPr>
        <w:ind w:left="5760" w:hanging="360"/>
      </w:pPr>
    </w:lvl>
    <w:lvl w:ilvl="8" w:tplc="BFD84C9A">
      <w:start w:val="1"/>
      <w:numFmt w:val="bullet"/>
      <w:lvlText w:val="●"/>
      <w:lvlJc w:val="left"/>
      <w:pPr>
        <w:ind w:left="6480" w:hanging="360"/>
      </w:pPr>
    </w:lvl>
  </w:abstractNum>
  <w:num w:numId="1" w16cid:durableId="1087851068">
    <w:abstractNumId w:val="1"/>
    <w:lvlOverride w:ilvl="0">
      <w:startOverride w:val="1"/>
    </w:lvlOverride>
  </w:num>
  <w:num w:numId="2" w16cid:durableId="1559701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EyNDcys7A0MzU3sjBW0lEKTi0uzszPAykwrAUA2kCQYiwAAAA="/>
  </w:docVars>
  <w:rsids>
    <w:rsidRoot w:val="00493CEC"/>
    <w:rsid w:val="0002428C"/>
    <w:rsid w:val="00171EBA"/>
    <w:rsid w:val="00231721"/>
    <w:rsid w:val="002866C7"/>
    <w:rsid w:val="003648D3"/>
    <w:rsid w:val="003C066A"/>
    <w:rsid w:val="00456770"/>
    <w:rsid w:val="00493CEC"/>
    <w:rsid w:val="00571274"/>
    <w:rsid w:val="00573F6A"/>
    <w:rsid w:val="00592307"/>
    <w:rsid w:val="005F489D"/>
    <w:rsid w:val="006D2DC6"/>
    <w:rsid w:val="006D5D8F"/>
    <w:rsid w:val="007033D6"/>
    <w:rsid w:val="00931DEC"/>
    <w:rsid w:val="009F3D68"/>
    <w:rsid w:val="00A85099"/>
    <w:rsid w:val="00AB5BF9"/>
    <w:rsid w:val="00B34223"/>
    <w:rsid w:val="00C534A9"/>
    <w:rsid w:val="00C93D51"/>
    <w:rsid w:val="00CD6164"/>
    <w:rsid w:val="00D83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F46D4"/>
  <w15:docId w15:val="{BC2089D4-22A4-400E-B257-1D352F429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3C066A"/>
    <w:rPr>
      <w:color w:val="605E5C"/>
      <w:shd w:val="clear" w:color="auto" w:fill="E1DFDD"/>
    </w:rPr>
  </w:style>
  <w:style w:type="paragraph" w:styleId="Header">
    <w:name w:val="header"/>
    <w:basedOn w:val="Normal"/>
    <w:link w:val="HeaderChar"/>
    <w:uiPriority w:val="99"/>
    <w:unhideWhenUsed/>
    <w:rsid w:val="00592307"/>
    <w:pPr>
      <w:tabs>
        <w:tab w:val="center" w:pos="4680"/>
        <w:tab w:val="right" w:pos="9360"/>
      </w:tabs>
    </w:pPr>
  </w:style>
  <w:style w:type="character" w:customStyle="1" w:styleId="HeaderChar">
    <w:name w:val="Header Char"/>
    <w:basedOn w:val="DefaultParagraphFont"/>
    <w:link w:val="Header"/>
    <w:uiPriority w:val="99"/>
    <w:rsid w:val="00592307"/>
  </w:style>
  <w:style w:type="paragraph" w:styleId="Footer">
    <w:name w:val="footer"/>
    <w:basedOn w:val="Normal"/>
    <w:link w:val="FooterChar"/>
    <w:uiPriority w:val="99"/>
    <w:unhideWhenUsed/>
    <w:rsid w:val="00592307"/>
    <w:pPr>
      <w:tabs>
        <w:tab w:val="center" w:pos="4680"/>
        <w:tab w:val="right" w:pos="9360"/>
      </w:tabs>
    </w:pPr>
  </w:style>
  <w:style w:type="character" w:customStyle="1" w:styleId="FooterChar">
    <w:name w:val="Footer Char"/>
    <w:basedOn w:val="DefaultParagraphFont"/>
    <w:link w:val="Footer"/>
    <w:uiPriority w:val="99"/>
    <w:rsid w:val="00592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16/j.jcjq.2024.07.003" TargetMode="External"/><Relationship Id="rId13" Type="http://schemas.openxmlformats.org/officeDocument/2006/relationships/hyperlink" Target="https://www.jointcommission.or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doi.org/10.51894/001c.1441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med.2023.121534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dc.gov/sepsis/about/index.html" TargetMode="External"/><Relationship Id="rId4" Type="http://schemas.openxmlformats.org/officeDocument/2006/relationships/webSettings" Target="webSettings.xml"/><Relationship Id="rId9" Type="http://schemas.openxmlformats.org/officeDocument/2006/relationships/hyperlink" Target="https://doi.org/10.1097/PTS.000000000000106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1668</Words>
  <Characters>8326</Characters>
  <Application>Microsoft Office Word</Application>
  <DocSecurity>0</DocSecurity>
  <Lines>1189</Lines>
  <Paragraphs>434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61b6d164-6d1b-4f1b-8ada-873de5dc1d2b</vt:lpwstr>
  </property>
</Properties>
</file>