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12909" w14:textId="77777777" w:rsidR="00F2172E" w:rsidRPr="00452997" w:rsidRDefault="00F2172E" w:rsidP="00452997">
      <w:pPr>
        <w:rPr>
          <w:rFonts w:cs="Times New Roman"/>
          <w:szCs w:val="24"/>
        </w:rPr>
      </w:pPr>
    </w:p>
    <w:p w14:paraId="21E04A17" w14:textId="77777777" w:rsidR="00F2172E" w:rsidRPr="00452997" w:rsidRDefault="00F2172E" w:rsidP="00452997">
      <w:pPr>
        <w:rPr>
          <w:rFonts w:cs="Times New Roman"/>
          <w:szCs w:val="24"/>
        </w:rPr>
      </w:pPr>
    </w:p>
    <w:p w14:paraId="3AF3CBAC" w14:textId="77777777" w:rsidR="00F2172E" w:rsidRPr="00452997" w:rsidRDefault="00F2172E" w:rsidP="00452997">
      <w:pPr>
        <w:ind w:firstLine="0"/>
        <w:rPr>
          <w:rFonts w:cs="Times New Roman"/>
          <w:szCs w:val="24"/>
        </w:rPr>
      </w:pPr>
    </w:p>
    <w:p w14:paraId="35D95F2D" w14:textId="77777777" w:rsidR="00F2172E" w:rsidRPr="00452997" w:rsidRDefault="00F2172E" w:rsidP="00452997">
      <w:pPr>
        <w:rPr>
          <w:rFonts w:cs="Times New Roman"/>
          <w:szCs w:val="24"/>
        </w:rPr>
      </w:pPr>
    </w:p>
    <w:p w14:paraId="7723E3A8" w14:textId="36E18A4F" w:rsidR="008647E3" w:rsidRPr="00452997" w:rsidRDefault="008647E3" w:rsidP="00452997">
      <w:pPr>
        <w:jc w:val="center"/>
        <w:rPr>
          <w:rFonts w:cs="Times New Roman"/>
          <w:b/>
          <w:bCs/>
          <w:szCs w:val="24"/>
        </w:rPr>
      </w:pPr>
      <w:r w:rsidRPr="00452997">
        <w:rPr>
          <w:rFonts w:cs="Times New Roman"/>
          <w:b/>
          <w:bCs/>
          <w:szCs w:val="24"/>
        </w:rPr>
        <w:t>Case 1</w:t>
      </w:r>
    </w:p>
    <w:p w14:paraId="0583D04B" w14:textId="2CDA8DB0" w:rsidR="008647E3" w:rsidRPr="00452997" w:rsidRDefault="008647E3" w:rsidP="00452997">
      <w:pPr>
        <w:jc w:val="center"/>
        <w:rPr>
          <w:rFonts w:cs="Times New Roman"/>
          <w:szCs w:val="24"/>
        </w:rPr>
      </w:pPr>
    </w:p>
    <w:p w14:paraId="577A5481" w14:textId="0B08C237" w:rsidR="008647E3" w:rsidRPr="00452997" w:rsidRDefault="008647E3" w:rsidP="00452997">
      <w:pPr>
        <w:jc w:val="center"/>
        <w:rPr>
          <w:rFonts w:cs="Times New Roman"/>
          <w:szCs w:val="24"/>
        </w:rPr>
      </w:pPr>
    </w:p>
    <w:p w14:paraId="6A0F7A4A" w14:textId="77777777" w:rsidR="008647E3" w:rsidRPr="00452997" w:rsidRDefault="008647E3" w:rsidP="00452997">
      <w:pPr>
        <w:jc w:val="center"/>
        <w:rPr>
          <w:rFonts w:cs="Times New Roman"/>
          <w:szCs w:val="24"/>
        </w:rPr>
      </w:pPr>
    </w:p>
    <w:p w14:paraId="45A9D629" w14:textId="2F44A2BC" w:rsidR="008647E3" w:rsidRPr="00452997" w:rsidRDefault="008647E3" w:rsidP="00452997">
      <w:pPr>
        <w:jc w:val="center"/>
        <w:rPr>
          <w:rFonts w:cs="Times New Roman"/>
          <w:szCs w:val="24"/>
        </w:rPr>
      </w:pPr>
      <w:r w:rsidRPr="00452997">
        <w:rPr>
          <w:rFonts w:cs="Times New Roman"/>
          <w:szCs w:val="24"/>
        </w:rPr>
        <w:t>Student Name</w:t>
      </w:r>
    </w:p>
    <w:p w14:paraId="1F89B252" w14:textId="77777777" w:rsidR="008647E3" w:rsidRPr="00452997" w:rsidRDefault="008647E3" w:rsidP="00452997">
      <w:pPr>
        <w:jc w:val="center"/>
        <w:rPr>
          <w:rFonts w:cs="Times New Roman"/>
          <w:szCs w:val="24"/>
        </w:rPr>
      </w:pPr>
      <w:r w:rsidRPr="00452997">
        <w:rPr>
          <w:rFonts w:cs="Times New Roman"/>
          <w:szCs w:val="24"/>
        </w:rPr>
        <w:t>Institution Affiliation</w:t>
      </w:r>
    </w:p>
    <w:p w14:paraId="008ABBF3" w14:textId="77777777" w:rsidR="008647E3" w:rsidRPr="00452997" w:rsidRDefault="008647E3" w:rsidP="00452997">
      <w:pPr>
        <w:jc w:val="center"/>
        <w:rPr>
          <w:rFonts w:cs="Times New Roman"/>
          <w:szCs w:val="24"/>
        </w:rPr>
      </w:pPr>
      <w:r w:rsidRPr="00452997">
        <w:rPr>
          <w:rFonts w:cs="Times New Roman"/>
          <w:szCs w:val="24"/>
        </w:rPr>
        <w:t>Course</w:t>
      </w:r>
    </w:p>
    <w:p w14:paraId="655909AE" w14:textId="77777777" w:rsidR="008647E3" w:rsidRPr="00452997" w:rsidRDefault="008647E3" w:rsidP="00452997">
      <w:pPr>
        <w:jc w:val="center"/>
        <w:rPr>
          <w:rFonts w:cs="Times New Roman"/>
          <w:szCs w:val="24"/>
        </w:rPr>
      </w:pPr>
      <w:r w:rsidRPr="00452997">
        <w:rPr>
          <w:rFonts w:cs="Times New Roman"/>
          <w:szCs w:val="24"/>
        </w:rPr>
        <w:t>Instructor</w:t>
      </w:r>
    </w:p>
    <w:p w14:paraId="417D69F1" w14:textId="23D53F17" w:rsidR="00F2172E" w:rsidRPr="00452997" w:rsidRDefault="008647E3" w:rsidP="00452997">
      <w:pPr>
        <w:jc w:val="center"/>
        <w:rPr>
          <w:rFonts w:cs="Times New Roman"/>
          <w:szCs w:val="24"/>
        </w:rPr>
      </w:pPr>
      <w:r w:rsidRPr="00452997">
        <w:rPr>
          <w:rFonts w:cs="Times New Roman"/>
          <w:szCs w:val="24"/>
        </w:rPr>
        <w:t>Date</w:t>
      </w:r>
      <w:r w:rsidR="0053649C" w:rsidRPr="00452997">
        <w:rPr>
          <w:rFonts w:cs="Times New Roman"/>
          <w:szCs w:val="24"/>
        </w:rPr>
        <w:br w:type="page"/>
      </w:r>
    </w:p>
    <w:p w14:paraId="03560E4F" w14:textId="77777777" w:rsidR="00F2172E" w:rsidRPr="00452997" w:rsidRDefault="0053649C" w:rsidP="001D4815">
      <w:pPr>
        <w:ind w:firstLine="0"/>
        <w:jc w:val="center"/>
        <w:rPr>
          <w:rFonts w:cs="Times New Roman"/>
          <w:szCs w:val="24"/>
        </w:rPr>
      </w:pPr>
      <w:r w:rsidRPr="00452997">
        <w:rPr>
          <w:rFonts w:cs="Times New Roman"/>
          <w:b/>
          <w:szCs w:val="24"/>
        </w:rPr>
        <w:lastRenderedPageBreak/>
        <w:t>BUS500 Case 1: Delving into Financials: Palantir Technologies Inc.</w:t>
      </w:r>
    </w:p>
    <w:p w14:paraId="0471AA3E" w14:textId="77777777" w:rsidR="002F052C" w:rsidRPr="00452997" w:rsidRDefault="002F052C" w:rsidP="00452997">
      <w:pPr>
        <w:pStyle w:val="NormalWeb"/>
        <w:spacing w:before="0" w:beforeAutospacing="0" w:after="0" w:afterAutospacing="0" w:line="480" w:lineRule="auto"/>
        <w:ind w:firstLine="720"/>
      </w:pPr>
      <w:r w:rsidRPr="00452997">
        <w:t>A company’s financial statements are more than numbers; they reveal liquidity, profitability, risk exposure, and strategic direction. It is a good example to discuss the impact of quarterly financial statements on business performance in a competitive technology landscape, such as Palantir Technologies Inc., a data analytics and artificial intelligence company. This analysis analyzes the current Form 10-Q for Palantir by discussing selected accounts on the balance sheet, the results of operations for the Statement of Operations, key risk factors and recent news events. The crux of the matter is that although the company is likely in better financial shape with its revenues showing strong momentum and assets growing, Palantir's ability to maintain this financial health and investor faith in the time ahead could hinge on how effectively it manages its liabilities, market expectations, and reputational risks, as well as privacy concerns and government-contract dependence.</w:t>
      </w:r>
    </w:p>
    <w:p w14:paraId="179CBBA8" w14:textId="77777777" w:rsidR="002F052C" w:rsidRPr="00452997" w:rsidRDefault="002F052C" w:rsidP="00452997">
      <w:pPr>
        <w:pStyle w:val="NormalWeb"/>
        <w:spacing w:before="0" w:beforeAutospacing="0" w:after="0" w:afterAutospacing="0" w:line="480" w:lineRule="auto"/>
      </w:pPr>
      <w:r w:rsidRPr="00452997">
        <w:rPr>
          <w:rStyle w:val="Strong"/>
        </w:rPr>
        <w:t>Company Overview</w:t>
      </w:r>
    </w:p>
    <w:p w14:paraId="72D7D92C" w14:textId="0DDBA2A9" w:rsidR="002F052C" w:rsidRPr="00452997" w:rsidRDefault="002F052C" w:rsidP="00452997">
      <w:pPr>
        <w:pStyle w:val="NormalWeb"/>
        <w:spacing w:before="0" w:beforeAutospacing="0" w:after="0" w:afterAutospacing="0" w:line="480" w:lineRule="auto"/>
        <w:ind w:firstLine="720"/>
      </w:pPr>
      <w:r w:rsidRPr="00452997">
        <w:t xml:space="preserve">Palantir Technologies Inc. (2026) states that Palantir was incorporated in 2003 in Delaware, with systems Palantir designs for its customers serving as a central platform. It provides on-demand services to all government and/or commercial customers, enabling the integration of data, analysis of information, and decision-making. Its business bears close resemblance to artificial intelligence, data analytics, defense, public-sector operations, and enterprise software. </w:t>
      </w:r>
      <w:r w:rsidR="008647E3" w:rsidRPr="00452997">
        <w:t>As a result, in addition to the strength of demand for Palantir's software, the company's success depends on its customers' trust and buy-in, regulatory compliance, and its ability to profitably scale its platforms.</w:t>
      </w:r>
    </w:p>
    <w:p w14:paraId="35CC8B2C" w14:textId="2CBF4097" w:rsidR="00F2172E" w:rsidRPr="00452997" w:rsidRDefault="0053649C" w:rsidP="00452997">
      <w:pPr>
        <w:ind w:firstLine="0"/>
        <w:rPr>
          <w:rFonts w:cs="Times New Roman"/>
          <w:szCs w:val="24"/>
        </w:rPr>
      </w:pPr>
      <w:r w:rsidRPr="00452997">
        <w:rPr>
          <w:rFonts w:cs="Times New Roman"/>
          <w:b/>
          <w:szCs w:val="24"/>
        </w:rPr>
        <w:t>Balance Sheet: Assets</w:t>
      </w:r>
    </w:p>
    <w:p w14:paraId="0303F0FA" w14:textId="77841020" w:rsidR="00F2172E" w:rsidRPr="00452997" w:rsidRDefault="0053649C" w:rsidP="00452997">
      <w:pPr>
        <w:ind w:firstLine="0"/>
        <w:rPr>
          <w:rFonts w:cs="Times New Roman"/>
          <w:szCs w:val="24"/>
        </w:rPr>
      </w:pPr>
      <w:r w:rsidRPr="00452997">
        <w:rPr>
          <w:rFonts w:cs="Times New Roman"/>
          <w:b/>
          <w:i/>
          <w:iCs/>
          <w:szCs w:val="24"/>
        </w:rPr>
        <w:t>Table 1</w:t>
      </w:r>
      <w:r w:rsidR="00AB4780" w:rsidRPr="00452997">
        <w:rPr>
          <w:rFonts w:cs="Times New Roman"/>
          <w:b/>
          <w:i/>
          <w:iCs/>
          <w:szCs w:val="24"/>
        </w:rPr>
        <w:t xml:space="preserve">: </w:t>
      </w:r>
      <w:r w:rsidRPr="00452997">
        <w:rPr>
          <w:rFonts w:cs="Times New Roman"/>
          <w:b/>
          <w:i/>
          <w:iCs/>
          <w:szCs w:val="24"/>
        </w:rPr>
        <w:t>Palantir Technologies Inc. Selected Assets (in thousands)</w:t>
      </w:r>
    </w:p>
    <w:tbl>
      <w:tblPr>
        <w:tblStyle w:val="TableGrid"/>
        <w:tblW w:w="0" w:type="auto"/>
        <w:jc w:val="center"/>
        <w:tblLook w:val="04A0" w:firstRow="1" w:lastRow="0" w:firstColumn="1" w:lastColumn="0" w:noHBand="0" w:noVBand="1"/>
      </w:tblPr>
      <w:tblGrid>
        <w:gridCol w:w="3116"/>
        <w:gridCol w:w="3117"/>
        <w:gridCol w:w="3117"/>
      </w:tblGrid>
      <w:tr w:rsidR="00F2172E" w:rsidRPr="00452997" w14:paraId="0904F700" w14:textId="77777777">
        <w:trPr>
          <w:jc w:val="center"/>
        </w:trPr>
        <w:tc>
          <w:tcPr>
            <w:tcW w:w="3120" w:type="dxa"/>
            <w:tcMar>
              <w:top w:w="60" w:type="dxa"/>
              <w:left w:w="60" w:type="dxa"/>
              <w:bottom w:w="60" w:type="dxa"/>
              <w:right w:w="60" w:type="dxa"/>
            </w:tcMar>
            <w:vAlign w:val="center"/>
          </w:tcPr>
          <w:p w14:paraId="49406011" w14:textId="77777777" w:rsidR="00F2172E" w:rsidRPr="00452997" w:rsidRDefault="0053649C" w:rsidP="00452997">
            <w:pPr>
              <w:ind w:firstLine="0"/>
              <w:rPr>
                <w:rFonts w:cs="Times New Roman"/>
                <w:szCs w:val="24"/>
              </w:rPr>
            </w:pPr>
            <w:r w:rsidRPr="00452997">
              <w:rPr>
                <w:rFonts w:cs="Times New Roman"/>
                <w:b/>
                <w:szCs w:val="24"/>
              </w:rPr>
              <w:t>Financial Category</w:t>
            </w:r>
          </w:p>
        </w:tc>
        <w:tc>
          <w:tcPr>
            <w:tcW w:w="3120" w:type="dxa"/>
            <w:tcMar>
              <w:top w:w="60" w:type="dxa"/>
              <w:left w:w="60" w:type="dxa"/>
              <w:bottom w:w="60" w:type="dxa"/>
              <w:right w:w="60" w:type="dxa"/>
            </w:tcMar>
            <w:vAlign w:val="center"/>
          </w:tcPr>
          <w:p w14:paraId="45B23D53" w14:textId="77777777" w:rsidR="00F2172E" w:rsidRPr="00452997" w:rsidRDefault="0053649C" w:rsidP="00452997">
            <w:pPr>
              <w:ind w:firstLine="0"/>
              <w:rPr>
                <w:rFonts w:cs="Times New Roman"/>
                <w:szCs w:val="24"/>
              </w:rPr>
            </w:pPr>
            <w:r w:rsidRPr="00452997">
              <w:rPr>
                <w:rFonts w:cs="Times New Roman"/>
                <w:b/>
                <w:szCs w:val="24"/>
              </w:rPr>
              <w:t>March 31, 2026</w:t>
            </w:r>
          </w:p>
        </w:tc>
        <w:tc>
          <w:tcPr>
            <w:tcW w:w="3120" w:type="dxa"/>
            <w:tcMar>
              <w:top w:w="60" w:type="dxa"/>
              <w:left w:w="60" w:type="dxa"/>
              <w:bottom w:w="60" w:type="dxa"/>
              <w:right w:w="60" w:type="dxa"/>
            </w:tcMar>
            <w:vAlign w:val="center"/>
          </w:tcPr>
          <w:p w14:paraId="61E77F21" w14:textId="77777777" w:rsidR="00F2172E" w:rsidRPr="00452997" w:rsidRDefault="0053649C" w:rsidP="00452997">
            <w:pPr>
              <w:ind w:firstLine="0"/>
              <w:rPr>
                <w:rFonts w:cs="Times New Roman"/>
                <w:szCs w:val="24"/>
              </w:rPr>
            </w:pPr>
            <w:r w:rsidRPr="00452997">
              <w:rPr>
                <w:rFonts w:cs="Times New Roman"/>
                <w:b/>
                <w:szCs w:val="24"/>
              </w:rPr>
              <w:t>December 31, 2025</w:t>
            </w:r>
          </w:p>
        </w:tc>
      </w:tr>
      <w:tr w:rsidR="00F2172E" w:rsidRPr="00452997" w14:paraId="706E48FE" w14:textId="77777777">
        <w:trPr>
          <w:jc w:val="center"/>
        </w:trPr>
        <w:tc>
          <w:tcPr>
            <w:tcW w:w="3120" w:type="dxa"/>
            <w:tcMar>
              <w:top w:w="60" w:type="dxa"/>
              <w:left w:w="60" w:type="dxa"/>
              <w:bottom w:w="60" w:type="dxa"/>
              <w:right w:w="60" w:type="dxa"/>
            </w:tcMar>
            <w:vAlign w:val="center"/>
          </w:tcPr>
          <w:p w14:paraId="1E845E98" w14:textId="77777777" w:rsidR="00F2172E" w:rsidRPr="00452997" w:rsidRDefault="0053649C" w:rsidP="00452997">
            <w:pPr>
              <w:ind w:firstLine="0"/>
              <w:rPr>
                <w:rFonts w:cs="Times New Roman"/>
                <w:szCs w:val="24"/>
              </w:rPr>
            </w:pPr>
            <w:r w:rsidRPr="00452997">
              <w:rPr>
                <w:rFonts w:cs="Times New Roman"/>
                <w:szCs w:val="24"/>
              </w:rPr>
              <w:t>Cash and Cash Equivalents</w:t>
            </w:r>
          </w:p>
        </w:tc>
        <w:tc>
          <w:tcPr>
            <w:tcW w:w="3120" w:type="dxa"/>
            <w:tcMar>
              <w:top w:w="60" w:type="dxa"/>
              <w:left w:w="60" w:type="dxa"/>
              <w:bottom w:w="60" w:type="dxa"/>
              <w:right w:w="60" w:type="dxa"/>
            </w:tcMar>
            <w:vAlign w:val="center"/>
          </w:tcPr>
          <w:p w14:paraId="572DAB68" w14:textId="77777777" w:rsidR="00F2172E" w:rsidRPr="00452997" w:rsidRDefault="0053649C" w:rsidP="00452997">
            <w:pPr>
              <w:ind w:firstLine="0"/>
              <w:jc w:val="right"/>
              <w:rPr>
                <w:rFonts w:cs="Times New Roman"/>
                <w:szCs w:val="24"/>
              </w:rPr>
            </w:pPr>
            <w:r w:rsidRPr="00452997">
              <w:rPr>
                <w:rFonts w:cs="Times New Roman"/>
                <w:szCs w:val="24"/>
              </w:rPr>
              <w:t>$2,291,631</w:t>
            </w:r>
          </w:p>
        </w:tc>
        <w:tc>
          <w:tcPr>
            <w:tcW w:w="3120" w:type="dxa"/>
            <w:tcMar>
              <w:top w:w="60" w:type="dxa"/>
              <w:left w:w="60" w:type="dxa"/>
              <w:bottom w:w="60" w:type="dxa"/>
              <w:right w:w="60" w:type="dxa"/>
            </w:tcMar>
            <w:vAlign w:val="center"/>
          </w:tcPr>
          <w:p w14:paraId="0E15ABD8" w14:textId="77777777" w:rsidR="00F2172E" w:rsidRPr="00452997" w:rsidRDefault="0053649C" w:rsidP="00452997">
            <w:pPr>
              <w:ind w:firstLine="0"/>
              <w:jc w:val="right"/>
              <w:rPr>
                <w:rFonts w:cs="Times New Roman"/>
                <w:szCs w:val="24"/>
              </w:rPr>
            </w:pPr>
            <w:r w:rsidRPr="00452997">
              <w:rPr>
                <w:rFonts w:cs="Times New Roman"/>
                <w:szCs w:val="24"/>
              </w:rPr>
              <w:t>$1,423,796</w:t>
            </w:r>
          </w:p>
        </w:tc>
      </w:tr>
      <w:tr w:rsidR="00F2172E" w:rsidRPr="00452997" w14:paraId="453019C2" w14:textId="77777777">
        <w:trPr>
          <w:jc w:val="center"/>
        </w:trPr>
        <w:tc>
          <w:tcPr>
            <w:tcW w:w="3120" w:type="dxa"/>
            <w:tcMar>
              <w:top w:w="60" w:type="dxa"/>
              <w:left w:w="60" w:type="dxa"/>
              <w:bottom w:w="60" w:type="dxa"/>
              <w:right w:w="60" w:type="dxa"/>
            </w:tcMar>
            <w:vAlign w:val="center"/>
          </w:tcPr>
          <w:p w14:paraId="51F33C12" w14:textId="77777777" w:rsidR="00F2172E" w:rsidRPr="00452997" w:rsidRDefault="0053649C" w:rsidP="00452997">
            <w:pPr>
              <w:ind w:firstLine="0"/>
              <w:rPr>
                <w:rFonts w:cs="Times New Roman"/>
                <w:szCs w:val="24"/>
              </w:rPr>
            </w:pPr>
            <w:r w:rsidRPr="00452997">
              <w:rPr>
                <w:rFonts w:cs="Times New Roman"/>
                <w:szCs w:val="24"/>
              </w:rPr>
              <w:t>Accounts Receivable, Net</w:t>
            </w:r>
          </w:p>
        </w:tc>
        <w:tc>
          <w:tcPr>
            <w:tcW w:w="3120" w:type="dxa"/>
            <w:tcMar>
              <w:top w:w="60" w:type="dxa"/>
              <w:left w:w="60" w:type="dxa"/>
              <w:bottom w:w="60" w:type="dxa"/>
              <w:right w:w="60" w:type="dxa"/>
            </w:tcMar>
            <w:vAlign w:val="center"/>
          </w:tcPr>
          <w:p w14:paraId="7B546BDB" w14:textId="77777777" w:rsidR="00F2172E" w:rsidRPr="00452997" w:rsidRDefault="0053649C" w:rsidP="00452997">
            <w:pPr>
              <w:ind w:firstLine="0"/>
              <w:jc w:val="right"/>
              <w:rPr>
                <w:rFonts w:cs="Times New Roman"/>
                <w:szCs w:val="24"/>
              </w:rPr>
            </w:pPr>
            <w:r w:rsidRPr="00452997">
              <w:rPr>
                <w:rFonts w:cs="Times New Roman"/>
                <w:szCs w:val="24"/>
              </w:rPr>
              <w:t>$1,405,588</w:t>
            </w:r>
          </w:p>
        </w:tc>
        <w:tc>
          <w:tcPr>
            <w:tcW w:w="3120" w:type="dxa"/>
            <w:tcMar>
              <w:top w:w="60" w:type="dxa"/>
              <w:left w:w="60" w:type="dxa"/>
              <w:bottom w:w="60" w:type="dxa"/>
              <w:right w:w="60" w:type="dxa"/>
            </w:tcMar>
            <w:vAlign w:val="center"/>
          </w:tcPr>
          <w:p w14:paraId="70BAB148" w14:textId="77777777" w:rsidR="00F2172E" w:rsidRPr="00452997" w:rsidRDefault="0053649C" w:rsidP="00452997">
            <w:pPr>
              <w:ind w:firstLine="0"/>
              <w:jc w:val="right"/>
              <w:rPr>
                <w:rFonts w:cs="Times New Roman"/>
                <w:szCs w:val="24"/>
              </w:rPr>
            </w:pPr>
            <w:r w:rsidRPr="00452997">
              <w:rPr>
                <w:rFonts w:cs="Times New Roman"/>
                <w:szCs w:val="24"/>
              </w:rPr>
              <w:t>$1,042,065</w:t>
            </w:r>
          </w:p>
        </w:tc>
      </w:tr>
      <w:tr w:rsidR="00F2172E" w:rsidRPr="00452997" w14:paraId="06E4A0D2" w14:textId="77777777">
        <w:trPr>
          <w:jc w:val="center"/>
        </w:trPr>
        <w:tc>
          <w:tcPr>
            <w:tcW w:w="3120" w:type="dxa"/>
            <w:tcMar>
              <w:top w:w="60" w:type="dxa"/>
              <w:left w:w="60" w:type="dxa"/>
              <w:bottom w:w="60" w:type="dxa"/>
              <w:right w:w="60" w:type="dxa"/>
            </w:tcMar>
            <w:vAlign w:val="center"/>
          </w:tcPr>
          <w:p w14:paraId="6158F207" w14:textId="77777777" w:rsidR="00F2172E" w:rsidRPr="00452997" w:rsidRDefault="0053649C" w:rsidP="00452997">
            <w:pPr>
              <w:ind w:firstLine="0"/>
              <w:rPr>
                <w:rFonts w:cs="Times New Roman"/>
                <w:szCs w:val="24"/>
              </w:rPr>
            </w:pPr>
            <w:r w:rsidRPr="00452997">
              <w:rPr>
                <w:rFonts w:cs="Times New Roman"/>
                <w:szCs w:val="24"/>
              </w:rPr>
              <w:t>Total Current Assets</w:t>
            </w:r>
          </w:p>
        </w:tc>
        <w:tc>
          <w:tcPr>
            <w:tcW w:w="3120" w:type="dxa"/>
            <w:tcMar>
              <w:top w:w="60" w:type="dxa"/>
              <w:left w:w="60" w:type="dxa"/>
              <w:bottom w:w="60" w:type="dxa"/>
              <w:right w:w="60" w:type="dxa"/>
            </w:tcMar>
            <w:vAlign w:val="center"/>
          </w:tcPr>
          <w:p w14:paraId="2C49EC7B" w14:textId="77777777" w:rsidR="00F2172E" w:rsidRPr="00452997" w:rsidRDefault="0053649C" w:rsidP="00452997">
            <w:pPr>
              <w:ind w:firstLine="0"/>
              <w:jc w:val="right"/>
              <w:rPr>
                <w:rFonts w:cs="Times New Roman"/>
                <w:szCs w:val="24"/>
              </w:rPr>
            </w:pPr>
            <w:r w:rsidRPr="00452997">
              <w:rPr>
                <w:rFonts w:cs="Times New Roman"/>
                <w:szCs w:val="24"/>
              </w:rPr>
              <w:t>$9,551,704</w:t>
            </w:r>
          </w:p>
        </w:tc>
        <w:tc>
          <w:tcPr>
            <w:tcW w:w="3120" w:type="dxa"/>
            <w:tcMar>
              <w:top w:w="60" w:type="dxa"/>
              <w:left w:w="60" w:type="dxa"/>
              <w:bottom w:w="60" w:type="dxa"/>
              <w:right w:w="60" w:type="dxa"/>
            </w:tcMar>
            <w:vAlign w:val="center"/>
          </w:tcPr>
          <w:p w14:paraId="2B0200C7" w14:textId="77777777" w:rsidR="00F2172E" w:rsidRPr="00452997" w:rsidRDefault="0053649C" w:rsidP="00452997">
            <w:pPr>
              <w:ind w:firstLine="0"/>
              <w:jc w:val="right"/>
              <w:rPr>
                <w:rFonts w:cs="Times New Roman"/>
                <w:szCs w:val="24"/>
              </w:rPr>
            </w:pPr>
            <w:r w:rsidRPr="00452997">
              <w:rPr>
                <w:rFonts w:cs="Times New Roman"/>
                <w:szCs w:val="24"/>
              </w:rPr>
              <w:t>$8,358,174</w:t>
            </w:r>
          </w:p>
        </w:tc>
      </w:tr>
      <w:tr w:rsidR="00F2172E" w:rsidRPr="00452997" w14:paraId="1EA77BBD" w14:textId="77777777">
        <w:trPr>
          <w:jc w:val="center"/>
        </w:trPr>
        <w:tc>
          <w:tcPr>
            <w:tcW w:w="3120" w:type="dxa"/>
            <w:tcMar>
              <w:top w:w="60" w:type="dxa"/>
              <w:left w:w="60" w:type="dxa"/>
              <w:bottom w:w="60" w:type="dxa"/>
              <w:right w:w="60" w:type="dxa"/>
            </w:tcMar>
            <w:vAlign w:val="center"/>
          </w:tcPr>
          <w:p w14:paraId="0BFA598E" w14:textId="77777777" w:rsidR="00F2172E" w:rsidRPr="00452997" w:rsidRDefault="0053649C" w:rsidP="00452997">
            <w:pPr>
              <w:ind w:firstLine="0"/>
              <w:rPr>
                <w:rFonts w:cs="Times New Roman"/>
                <w:szCs w:val="24"/>
              </w:rPr>
            </w:pPr>
            <w:r w:rsidRPr="00452997">
              <w:rPr>
                <w:rFonts w:cs="Times New Roman"/>
                <w:szCs w:val="24"/>
              </w:rPr>
              <w:t>Total Assets</w:t>
            </w:r>
          </w:p>
        </w:tc>
        <w:tc>
          <w:tcPr>
            <w:tcW w:w="3120" w:type="dxa"/>
            <w:tcMar>
              <w:top w:w="60" w:type="dxa"/>
              <w:left w:w="60" w:type="dxa"/>
              <w:bottom w:w="60" w:type="dxa"/>
              <w:right w:w="60" w:type="dxa"/>
            </w:tcMar>
            <w:vAlign w:val="center"/>
          </w:tcPr>
          <w:p w14:paraId="1E4A5815" w14:textId="77777777" w:rsidR="00F2172E" w:rsidRPr="00452997" w:rsidRDefault="0053649C" w:rsidP="00452997">
            <w:pPr>
              <w:ind w:firstLine="0"/>
              <w:jc w:val="right"/>
              <w:rPr>
                <w:rFonts w:cs="Times New Roman"/>
                <w:szCs w:val="24"/>
              </w:rPr>
            </w:pPr>
            <w:r w:rsidRPr="00452997">
              <w:rPr>
                <w:rFonts w:cs="Times New Roman"/>
                <w:szCs w:val="24"/>
              </w:rPr>
              <w:t>$10,199,183</w:t>
            </w:r>
          </w:p>
        </w:tc>
        <w:tc>
          <w:tcPr>
            <w:tcW w:w="3120" w:type="dxa"/>
            <w:tcMar>
              <w:top w:w="60" w:type="dxa"/>
              <w:left w:w="60" w:type="dxa"/>
              <w:bottom w:w="60" w:type="dxa"/>
              <w:right w:w="60" w:type="dxa"/>
            </w:tcMar>
            <w:vAlign w:val="center"/>
          </w:tcPr>
          <w:p w14:paraId="2521D9A6" w14:textId="77777777" w:rsidR="00F2172E" w:rsidRPr="00452997" w:rsidRDefault="0053649C" w:rsidP="00452997">
            <w:pPr>
              <w:ind w:firstLine="0"/>
              <w:jc w:val="right"/>
              <w:rPr>
                <w:rFonts w:cs="Times New Roman"/>
                <w:szCs w:val="24"/>
              </w:rPr>
            </w:pPr>
            <w:r w:rsidRPr="00452997">
              <w:rPr>
                <w:rFonts w:cs="Times New Roman"/>
                <w:szCs w:val="24"/>
              </w:rPr>
              <w:t>$8,900,392</w:t>
            </w:r>
          </w:p>
        </w:tc>
      </w:tr>
    </w:tbl>
    <w:p w14:paraId="1A42D19C" w14:textId="77777777" w:rsidR="00F2172E" w:rsidRPr="00452997" w:rsidRDefault="0053649C" w:rsidP="00452997">
      <w:pPr>
        <w:ind w:firstLine="0"/>
        <w:rPr>
          <w:rFonts w:cs="Times New Roman"/>
          <w:i/>
          <w:iCs/>
          <w:szCs w:val="24"/>
        </w:rPr>
      </w:pPr>
      <w:r w:rsidRPr="00452997">
        <w:rPr>
          <w:rFonts w:cs="Times New Roman"/>
          <w:i/>
          <w:iCs/>
          <w:szCs w:val="24"/>
        </w:rPr>
        <w:t>Source: Form 10-Q, Palantir Technologies Inc.</w:t>
      </w:r>
    </w:p>
    <w:p w14:paraId="384FA7D2" w14:textId="5966AEE7" w:rsidR="008647E3" w:rsidRPr="00452997" w:rsidRDefault="008647E3" w:rsidP="00452997">
      <w:pPr>
        <w:ind w:firstLine="0"/>
        <w:rPr>
          <w:rFonts w:cs="Times New Roman"/>
          <w:szCs w:val="24"/>
        </w:rPr>
      </w:pPr>
      <w:r w:rsidRPr="00452997">
        <w:rPr>
          <w:rFonts w:cs="Times New Roman"/>
          <w:szCs w:val="24"/>
        </w:rPr>
        <w:t xml:space="preserve">According to the U.S. Securities and Exchange Commission (SEC) (2021), the balance sheet aids the user to understand what a firm holds, what a firm owes and the level of interest of the owners at a given time. The cash and cash equivalents are highly sensitive as they reflect instant liquidity, in the form of cash required to cover payroll and to invest in technology and in operations and any intentions or unforeseen activities that might arise. When the amount customer owes (accounts receivable) increases, that can be an indication of increased sales or it can be the indication of the fact that the collections process is in need of attention. Total current assets would concern the amount of money that the company ought to be in a position to access and convert into cash within 1 year and total assets concern the amount of economic resource base of the company. The data provided by </w:t>
      </w:r>
      <w:r w:rsidR="001D4815" w:rsidRPr="00452997">
        <w:rPr>
          <w:rFonts w:cs="Times New Roman"/>
          <w:szCs w:val="24"/>
        </w:rPr>
        <w:t>Booth</w:t>
      </w:r>
      <w:r w:rsidR="001D4815" w:rsidRPr="00452997">
        <w:rPr>
          <w:rFonts w:cs="Times New Roman"/>
          <w:szCs w:val="24"/>
        </w:rPr>
        <w:t xml:space="preserve"> </w:t>
      </w:r>
      <w:r w:rsidRPr="00452997">
        <w:rPr>
          <w:rFonts w:cs="Times New Roman"/>
          <w:szCs w:val="24"/>
        </w:rPr>
        <w:t xml:space="preserve">(2026) showed that the cash and cash equivalents were greater at the end of March 31, 2026, compared to December 31, 2025 (1.424 billion to 2.292 billion, respectively). There was also an increase in accounts receivable, which had increased to $1.406 billion instead of the initial 1.042 </w:t>
      </w:r>
      <w:r w:rsidR="001D4815" w:rsidRPr="00452997">
        <w:rPr>
          <w:rFonts w:cs="Times New Roman"/>
          <w:szCs w:val="24"/>
        </w:rPr>
        <w:t>billion</w:t>
      </w:r>
      <w:r w:rsidRPr="00452997">
        <w:rPr>
          <w:rFonts w:cs="Times New Roman"/>
          <w:szCs w:val="24"/>
        </w:rPr>
        <w:t>. Total current assets increased by 0.4 percent to reach $9.552 billion compared to 0.4 percent to reach total assets of 10.199 billion. Overall, Palantir appears to have been in a better position in the liquidity and asset categories in 2026 compared to 2022. It's a growth that corresponds to the growth of its revenues; however, it will depend on the efforts made by management to continue to collect the balances from the companies efficiently.</w:t>
      </w:r>
    </w:p>
    <w:p w14:paraId="3891CACF" w14:textId="0C0F0C18" w:rsidR="00F2172E" w:rsidRPr="00452997" w:rsidRDefault="0053649C" w:rsidP="00452997">
      <w:pPr>
        <w:ind w:firstLine="0"/>
        <w:rPr>
          <w:rFonts w:cs="Times New Roman"/>
          <w:szCs w:val="24"/>
        </w:rPr>
      </w:pPr>
      <w:r w:rsidRPr="00452997">
        <w:rPr>
          <w:rFonts w:cs="Times New Roman"/>
          <w:b/>
          <w:szCs w:val="24"/>
        </w:rPr>
        <w:t>Balance Sheet: Liabilities</w:t>
      </w:r>
    </w:p>
    <w:p w14:paraId="4C1E2A56" w14:textId="63720E84" w:rsidR="00F2172E" w:rsidRPr="00452997" w:rsidRDefault="0053649C" w:rsidP="00452997">
      <w:pPr>
        <w:ind w:firstLine="0"/>
        <w:rPr>
          <w:rFonts w:cs="Times New Roman"/>
          <w:i/>
          <w:iCs/>
          <w:szCs w:val="24"/>
        </w:rPr>
      </w:pPr>
      <w:r w:rsidRPr="00452997">
        <w:rPr>
          <w:rFonts w:cs="Times New Roman"/>
          <w:b/>
          <w:i/>
          <w:iCs/>
          <w:szCs w:val="24"/>
        </w:rPr>
        <w:t>Table 2</w:t>
      </w:r>
      <w:r w:rsidR="00AB4780" w:rsidRPr="00452997">
        <w:rPr>
          <w:rFonts w:cs="Times New Roman"/>
          <w:b/>
          <w:i/>
          <w:iCs/>
          <w:szCs w:val="24"/>
        </w:rPr>
        <w:t xml:space="preserve">: </w:t>
      </w:r>
      <w:r w:rsidRPr="00452997">
        <w:rPr>
          <w:rFonts w:cs="Times New Roman"/>
          <w:b/>
          <w:i/>
          <w:iCs/>
          <w:szCs w:val="24"/>
        </w:rPr>
        <w:t>Palantir Technologies Inc. Selected Liabilities (in thousands)</w:t>
      </w:r>
    </w:p>
    <w:tbl>
      <w:tblPr>
        <w:tblStyle w:val="TableGrid"/>
        <w:tblW w:w="0" w:type="auto"/>
        <w:jc w:val="center"/>
        <w:tblLook w:val="04A0" w:firstRow="1" w:lastRow="0" w:firstColumn="1" w:lastColumn="0" w:noHBand="0" w:noVBand="1"/>
      </w:tblPr>
      <w:tblGrid>
        <w:gridCol w:w="3116"/>
        <w:gridCol w:w="3117"/>
        <w:gridCol w:w="3117"/>
      </w:tblGrid>
      <w:tr w:rsidR="00F2172E" w:rsidRPr="00452997" w14:paraId="2F13850F" w14:textId="77777777">
        <w:trPr>
          <w:jc w:val="center"/>
        </w:trPr>
        <w:tc>
          <w:tcPr>
            <w:tcW w:w="3120" w:type="dxa"/>
            <w:tcMar>
              <w:top w:w="60" w:type="dxa"/>
              <w:left w:w="60" w:type="dxa"/>
              <w:bottom w:w="60" w:type="dxa"/>
              <w:right w:w="60" w:type="dxa"/>
            </w:tcMar>
            <w:vAlign w:val="center"/>
          </w:tcPr>
          <w:p w14:paraId="3C4AF57E" w14:textId="77777777" w:rsidR="00F2172E" w:rsidRPr="00452997" w:rsidRDefault="0053649C" w:rsidP="00452997">
            <w:pPr>
              <w:ind w:firstLine="0"/>
              <w:rPr>
                <w:rFonts w:cs="Times New Roman"/>
                <w:szCs w:val="24"/>
              </w:rPr>
            </w:pPr>
            <w:r w:rsidRPr="00452997">
              <w:rPr>
                <w:rFonts w:cs="Times New Roman"/>
                <w:b/>
                <w:szCs w:val="24"/>
              </w:rPr>
              <w:t>Financial Category</w:t>
            </w:r>
          </w:p>
        </w:tc>
        <w:tc>
          <w:tcPr>
            <w:tcW w:w="3120" w:type="dxa"/>
            <w:tcMar>
              <w:top w:w="60" w:type="dxa"/>
              <w:left w:w="60" w:type="dxa"/>
              <w:bottom w:w="60" w:type="dxa"/>
              <w:right w:w="60" w:type="dxa"/>
            </w:tcMar>
            <w:vAlign w:val="center"/>
          </w:tcPr>
          <w:p w14:paraId="22B8AADB" w14:textId="77777777" w:rsidR="00F2172E" w:rsidRPr="00452997" w:rsidRDefault="0053649C" w:rsidP="00452997">
            <w:pPr>
              <w:ind w:firstLine="0"/>
              <w:rPr>
                <w:rFonts w:cs="Times New Roman"/>
                <w:szCs w:val="24"/>
              </w:rPr>
            </w:pPr>
            <w:r w:rsidRPr="00452997">
              <w:rPr>
                <w:rFonts w:cs="Times New Roman"/>
                <w:b/>
                <w:szCs w:val="24"/>
              </w:rPr>
              <w:t>March 31, 2026</w:t>
            </w:r>
          </w:p>
        </w:tc>
        <w:tc>
          <w:tcPr>
            <w:tcW w:w="3120" w:type="dxa"/>
            <w:tcMar>
              <w:top w:w="60" w:type="dxa"/>
              <w:left w:w="60" w:type="dxa"/>
              <w:bottom w:w="60" w:type="dxa"/>
              <w:right w:w="60" w:type="dxa"/>
            </w:tcMar>
            <w:vAlign w:val="center"/>
          </w:tcPr>
          <w:p w14:paraId="217F635C" w14:textId="77777777" w:rsidR="00F2172E" w:rsidRPr="00452997" w:rsidRDefault="0053649C" w:rsidP="00452997">
            <w:pPr>
              <w:ind w:firstLine="0"/>
              <w:rPr>
                <w:rFonts w:cs="Times New Roman"/>
                <w:szCs w:val="24"/>
              </w:rPr>
            </w:pPr>
            <w:r w:rsidRPr="00452997">
              <w:rPr>
                <w:rFonts w:cs="Times New Roman"/>
                <w:b/>
                <w:szCs w:val="24"/>
              </w:rPr>
              <w:t>December 31, 2025</w:t>
            </w:r>
          </w:p>
        </w:tc>
      </w:tr>
      <w:tr w:rsidR="00F2172E" w:rsidRPr="00452997" w14:paraId="50781EF8" w14:textId="77777777">
        <w:trPr>
          <w:jc w:val="center"/>
        </w:trPr>
        <w:tc>
          <w:tcPr>
            <w:tcW w:w="3120" w:type="dxa"/>
            <w:tcMar>
              <w:top w:w="60" w:type="dxa"/>
              <w:left w:w="60" w:type="dxa"/>
              <w:bottom w:w="60" w:type="dxa"/>
              <w:right w:w="60" w:type="dxa"/>
            </w:tcMar>
            <w:vAlign w:val="center"/>
          </w:tcPr>
          <w:p w14:paraId="1AE4529D" w14:textId="77777777" w:rsidR="00F2172E" w:rsidRPr="00452997" w:rsidRDefault="0053649C" w:rsidP="00452997">
            <w:pPr>
              <w:ind w:firstLine="0"/>
              <w:rPr>
                <w:rFonts w:cs="Times New Roman"/>
                <w:szCs w:val="24"/>
              </w:rPr>
            </w:pPr>
            <w:r w:rsidRPr="00452997">
              <w:rPr>
                <w:rFonts w:cs="Times New Roman"/>
                <w:szCs w:val="24"/>
              </w:rPr>
              <w:t>Current Liabilities</w:t>
            </w:r>
          </w:p>
        </w:tc>
        <w:tc>
          <w:tcPr>
            <w:tcW w:w="3120" w:type="dxa"/>
            <w:tcMar>
              <w:top w:w="60" w:type="dxa"/>
              <w:left w:w="60" w:type="dxa"/>
              <w:bottom w:w="60" w:type="dxa"/>
              <w:right w:w="60" w:type="dxa"/>
            </w:tcMar>
            <w:vAlign w:val="center"/>
          </w:tcPr>
          <w:p w14:paraId="4442136C" w14:textId="77777777" w:rsidR="00F2172E" w:rsidRPr="00452997" w:rsidRDefault="0053649C" w:rsidP="00452997">
            <w:pPr>
              <w:ind w:firstLine="0"/>
              <w:jc w:val="right"/>
              <w:rPr>
                <w:rFonts w:cs="Times New Roman"/>
                <w:szCs w:val="24"/>
              </w:rPr>
            </w:pPr>
            <w:r w:rsidRPr="00452997">
              <w:rPr>
                <w:rFonts w:cs="Times New Roman"/>
                <w:szCs w:val="24"/>
              </w:rPr>
              <w:t>$1,382,949</w:t>
            </w:r>
          </w:p>
        </w:tc>
        <w:tc>
          <w:tcPr>
            <w:tcW w:w="3120" w:type="dxa"/>
            <w:tcMar>
              <w:top w:w="60" w:type="dxa"/>
              <w:left w:w="60" w:type="dxa"/>
              <w:bottom w:w="60" w:type="dxa"/>
              <w:right w:w="60" w:type="dxa"/>
            </w:tcMar>
            <w:vAlign w:val="center"/>
          </w:tcPr>
          <w:p w14:paraId="35EFED87" w14:textId="77777777" w:rsidR="00F2172E" w:rsidRPr="00452997" w:rsidRDefault="0053649C" w:rsidP="00452997">
            <w:pPr>
              <w:ind w:firstLine="0"/>
              <w:jc w:val="right"/>
              <w:rPr>
                <w:rFonts w:cs="Times New Roman"/>
                <w:szCs w:val="24"/>
              </w:rPr>
            </w:pPr>
            <w:r w:rsidRPr="00452997">
              <w:rPr>
                <w:rFonts w:cs="Times New Roman"/>
                <w:szCs w:val="24"/>
              </w:rPr>
              <w:t>$1,175,581</w:t>
            </w:r>
          </w:p>
        </w:tc>
      </w:tr>
      <w:tr w:rsidR="00F2172E" w:rsidRPr="00452997" w14:paraId="632047C6" w14:textId="77777777">
        <w:trPr>
          <w:jc w:val="center"/>
        </w:trPr>
        <w:tc>
          <w:tcPr>
            <w:tcW w:w="3120" w:type="dxa"/>
            <w:tcMar>
              <w:top w:w="60" w:type="dxa"/>
              <w:left w:w="60" w:type="dxa"/>
              <w:bottom w:w="60" w:type="dxa"/>
              <w:right w:w="60" w:type="dxa"/>
            </w:tcMar>
            <w:vAlign w:val="center"/>
          </w:tcPr>
          <w:p w14:paraId="2B490283" w14:textId="77777777" w:rsidR="00F2172E" w:rsidRPr="00452997" w:rsidRDefault="0053649C" w:rsidP="00452997">
            <w:pPr>
              <w:ind w:firstLine="0"/>
              <w:rPr>
                <w:rFonts w:cs="Times New Roman"/>
                <w:szCs w:val="24"/>
              </w:rPr>
            </w:pPr>
            <w:r w:rsidRPr="00452997">
              <w:rPr>
                <w:rFonts w:cs="Times New Roman"/>
                <w:szCs w:val="24"/>
              </w:rPr>
              <w:t>Accounts Payable and Accrued Expenses</w:t>
            </w:r>
          </w:p>
        </w:tc>
        <w:tc>
          <w:tcPr>
            <w:tcW w:w="3120" w:type="dxa"/>
            <w:tcMar>
              <w:top w:w="60" w:type="dxa"/>
              <w:left w:w="60" w:type="dxa"/>
              <w:bottom w:w="60" w:type="dxa"/>
              <w:right w:w="60" w:type="dxa"/>
            </w:tcMar>
            <w:vAlign w:val="center"/>
          </w:tcPr>
          <w:p w14:paraId="2AF21D14" w14:textId="77777777" w:rsidR="00F2172E" w:rsidRPr="00452997" w:rsidRDefault="0053649C" w:rsidP="00452997">
            <w:pPr>
              <w:ind w:firstLine="0"/>
              <w:jc w:val="right"/>
              <w:rPr>
                <w:rFonts w:cs="Times New Roman"/>
                <w:szCs w:val="24"/>
              </w:rPr>
            </w:pPr>
            <w:r w:rsidRPr="00452997">
              <w:rPr>
                <w:rFonts w:cs="Times New Roman"/>
                <w:szCs w:val="24"/>
              </w:rPr>
              <w:t>$495,962</w:t>
            </w:r>
          </w:p>
        </w:tc>
        <w:tc>
          <w:tcPr>
            <w:tcW w:w="3120" w:type="dxa"/>
            <w:tcMar>
              <w:top w:w="60" w:type="dxa"/>
              <w:left w:w="60" w:type="dxa"/>
              <w:bottom w:w="60" w:type="dxa"/>
              <w:right w:w="60" w:type="dxa"/>
            </w:tcMar>
            <w:vAlign w:val="center"/>
          </w:tcPr>
          <w:p w14:paraId="255258AA" w14:textId="77777777" w:rsidR="00F2172E" w:rsidRPr="00452997" w:rsidRDefault="0053649C" w:rsidP="00452997">
            <w:pPr>
              <w:ind w:firstLine="0"/>
              <w:jc w:val="right"/>
              <w:rPr>
                <w:rFonts w:cs="Times New Roman"/>
                <w:szCs w:val="24"/>
              </w:rPr>
            </w:pPr>
            <w:r w:rsidRPr="00452997">
              <w:rPr>
                <w:rFonts w:cs="Times New Roman"/>
                <w:szCs w:val="24"/>
              </w:rPr>
              <w:t>$409,552</w:t>
            </w:r>
          </w:p>
        </w:tc>
      </w:tr>
      <w:tr w:rsidR="00F2172E" w:rsidRPr="00452997" w14:paraId="51B1ADDD" w14:textId="77777777">
        <w:trPr>
          <w:jc w:val="center"/>
        </w:trPr>
        <w:tc>
          <w:tcPr>
            <w:tcW w:w="3120" w:type="dxa"/>
            <w:tcMar>
              <w:top w:w="60" w:type="dxa"/>
              <w:left w:w="60" w:type="dxa"/>
              <w:bottom w:w="60" w:type="dxa"/>
              <w:right w:w="60" w:type="dxa"/>
            </w:tcMar>
            <w:vAlign w:val="center"/>
          </w:tcPr>
          <w:p w14:paraId="686E64D9" w14:textId="77777777" w:rsidR="00F2172E" w:rsidRPr="00452997" w:rsidRDefault="0053649C" w:rsidP="00452997">
            <w:pPr>
              <w:ind w:firstLine="0"/>
              <w:rPr>
                <w:rFonts w:cs="Times New Roman"/>
                <w:szCs w:val="24"/>
              </w:rPr>
            </w:pPr>
            <w:r w:rsidRPr="00452997">
              <w:rPr>
                <w:rFonts w:cs="Times New Roman"/>
                <w:szCs w:val="24"/>
              </w:rPr>
              <w:t>Total Current Liabilities</w:t>
            </w:r>
          </w:p>
        </w:tc>
        <w:tc>
          <w:tcPr>
            <w:tcW w:w="3120" w:type="dxa"/>
            <w:tcMar>
              <w:top w:w="60" w:type="dxa"/>
              <w:left w:w="60" w:type="dxa"/>
              <w:bottom w:w="60" w:type="dxa"/>
              <w:right w:w="60" w:type="dxa"/>
            </w:tcMar>
            <w:vAlign w:val="center"/>
          </w:tcPr>
          <w:p w14:paraId="6E1FC494" w14:textId="77777777" w:rsidR="00F2172E" w:rsidRPr="00452997" w:rsidRDefault="0053649C" w:rsidP="00452997">
            <w:pPr>
              <w:ind w:firstLine="0"/>
              <w:jc w:val="right"/>
              <w:rPr>
                <w:rFonts w:cs="Times New Roman"/>
                <w:szCs w:val="24"/>
              </w:rPr>
            </w:pPr>
            <w:r w:rsidRPr="00452997">
              <w:rPr>
                <w:rFonts w:cs="Times New Roman"/>
                <w:szCs w:val="24"/>
              </w:rPr>
              <w:t>$1,382,949</w:t>
            </w:r>
          </w:p>
        </w:tc>
        <w:tc>
          <w:tcPr>
            <w:tcW w:w="3120" w:type="dxa"/>
            <w:tcMar>
              <w:top w:w="60" w:type="dxa"/>
              <w:left w:w="60" w:type="dxa"/>
              <w:bottom w:w="60" w:type="dxa"/>
              <w:right w:w="60" w:type="dxa"/>
            </w:tcMar>
            <w:vAlign w:val="center"/>
          </w:tcPr>
          <w:p w14:paraId="53C5433F" w14:textId="77777777" w:rsidR="00F2172E" w:rsidRPr="00452997" w:rsidRDefault="0053649C" w:rsidP="00452997">
            <w:pPr>
              <w:ind w:firstLine="0"/>
              <w:jc w:val="right"/>
              <w:rPr>
                <w:rFonts w:cs="Times New Roman"/>
                <w:szCs w:val="24"/>
              </w:rPr>
            </w:pPr>
            <w:r w:rsidRPr="00452997">
              <w:rPr>
                <w:rFonts w:cs="Times New Roman"/>
                <w:szCs w:val="24"/>
              </w:rPr>
              <w:t>$1,175,581</w:t>
            </w:r>
          </w:p>
        </w:tc>
      </w:tr>
      <w:tr w:rsidR="00F2172E" w:rsidRPr="00452997" w14:paraId="00737755" w14:textId="77777777">
        <w:trPr>
          <w:jc w:val="center"/>
        </w:trPr>
        <w:tc>
          <w:tcPr>
            <w:tcW w:w="3120" w:type="dxa"/>
            <w:tcMar>
              <w:top w:w="60" w:type="dxa"/>
              <w:left w:w="60" w:type="dxa"/>
              <w:bottom w:w="60" w:type="dxa"/>
              <w:right w:w="60" w:type="dxa"/>
            </w:tcMar>
            <w:vAlign w:val="center"/>
          </w:tcPr>
          <w:p w14:paraId="2867D94B" w14:textId="77777777" w:rsidR="00F2172E" w:rsidRPr="00452997" w:rsidRDefault="0053649C" w:rsidP="00452997">
            <w:pPr>
              <w:ind w:firstLine="0"/>
              <w:rPr>
                <w:rFonts w:cs="Times New Roman"/>
                <w:szCs w:val="24"/>
              </w:rPr>
            </w:pPr>
            <w:r w:rsidRPr="00452997">
              <w:rPr>
                <w:rFonts w:cs="Times New Roman"/>
                <w:szCs w:val="24"/>
              </w:rPr>
              <w:t>Total Liabilities</w:t>
            </w:r>
          </w:p>
        </w:tc>
        <w:tc>
          <w:tcPr>
            <w:tcW w:w="3120" w:type="dxa"/>
            <w:tcMar>
              <w:top w:w="60" w:type="dxa"/>
              <w:left w:w="60" w:type="dxa"/>
              <w:bottom w:w="60" w:type="dxa"/>
              <w:right w:w="60" w:type="dxa"/>
            </w:tcMar>
            <w:vAlign w:val="center"/>
          </w:tcPr>
          <w:p w14:paraId="3307DC34" w14:textId="77777777" w:rsidR="00F2172E" w:rsidRPr="00452997" w:rsidRDefault="0053649C" w:rsidP="00452997">
            <w:pPr>
              <w:ind w:firstLine="0"/>
              <w:jc w:val="right"/>
              <w:rPr>
                <w:rFonts w:cs="Times New Roman"/>
                <w:szCs w:val="24"/>
              </w:rPr>
            </w:pPr>
            <w:r w:rsidRPr="00452997">
              <w:rPr>
                <w:rFonts w:cs="Times New Roman"/>
                <w:szCs w:val="24"/>
              </w:rPr>
              <w:t>$1,642,902</w:t>
            </w:r>
          </w:p>
        </w:tc>
        <w:tc>
          <w:tcPr>
            <w:tcW w:w="3120" w:type="dxa"/>
            <w:tcMar>
              <w:top w:w="60" w:type="dxa"/>
              <w:left w:w="60" w:type="dxa"/>
              <w:bottom w:w="60" w:type="dxa"/>
              <w:right w:w="60" w:type="dxa"/>
            </w:tcMar>
            <w:vAlign w:val="center"/>
          </w:tcPr>
          <w:p w14:paraId="4F977515" w14:textId="77777777" w:rsidR="00F2172E" w:rsidRPr="00452997" w:rsidRDefault="0053649C" w:rsidP="00452997">
            <w:pPr>
              <w:ind w:firstLine="0"/>
              <w:jc w:val="right"/>
              <w:rPr>
                <w:rFonts w:cs="Times New Roman"/>
                <w:szCs w:val="24"/>
              </w:rPr>
            </w:pPr>
            <w:r w:rsidRPr="00452997">
              <w:rPr>
                <w:rFonts w:cs="Times New Roman"/>
                <w:szCs w:val="24"/>
              </w:rPr>
              <w:t>$1,412,381</w:t>
            </w:r>
          </w:p>
        </w:tc>
      </w:tr>
    </w:tbl>
    <w:p w14:paraId="68B59D0B" w14:textId="77777777" w:rsidR="00F2172E" w:rsidRPr="00452997" w:rsidRDefault="0053649C" w:rsidP="00452997">
      <w:pPr>
        <w:ind w:firstLine="0"/>
        <w:rPr>
          <w:rFonts w:cs="Times New Roman"/>
          <w:i/>
          <w:iCs/>
          <w:szCs w:val="24"/>
        </w:rPr>
      </w:pPr>
      <w:r w:rsidRPr="00452997">
        <w:rPr>
          <w:rFonts w:cs="Times New Roman"/>
          <w:i/>
          <w:iCs/>
          <w:szCs w:val="24"/>
        </w:rPr>
        <w:t>Source: Form 10-Q, Palantir Technologies Inc.</w:t>
      </w:r>
    </w:p>
    <w:p w14:paraId="168309AC" w14:textId="77777777" w:rsidR="003320AB" w:rsidRPr="00452997" w:rsidRDefault="003320AB" w:rsidP="00452997">
      <w:pPr>
        <w:ind w:firstLine="0"/>
        <w:rPr>
          <w:rFonts w:cs="Times New Roman"/>
          <w:szCs w:val="24"/>
        </w:rPr>
      </w:pPr>
      <w:r w:rsidRPr="00452997">
        <w:rPr>
          <w:rFonts w:cs="Times New Roman"/>
          <w:szCs w:val="24"/>
        </w:rPr>
        <w:t>The United States Securities and Exchange Commission (2021) defines liabilities as amounts owed to others; obligations that will require cash to be paid or services to be rendered in the future based on the type of liability. Understanding current liabilities (liabilities due within a year) is helpful to consider the liquidity pressures that may be experienced in short-term. Bills, payroll, taxes and other expenses that are not paid to suppliers are accounted payable and accrued expenses. The total current liabilities represent the sum of all the short-term obligations whereas total liabilities represent a sum of short-term and long-term obligations. Palantir Technologies Inc. (2026) noted that accounts payable, accrued liabilities, among others, increased by 409.552 to 495.962 million. Total current liabilities moved up to 1.383 billion and total liabilities moved up to 1.643 billion as compared to 1.176 billion and 1.412 billion respectively. Overall, the growth of commitments can be attributed to the growth of Palantir, but it is the ratio of full current property/obligations that had no effect in the liquidity of the equilibrium sheet. This means that the company could be able to settle its short-term obligations from the net assets comprised of short-term liabilities. Deferred revenue and customer deposits, payroll accruals and tax accruals are still to be monitored although the latter will have an impact on the services to be offered, and the spreads of cash.</w:t>
      </w:r>
    </w:p>
    <w:p w14:paraId="055650AD" w14:textId="176EF393" w:rsidR="00F2172E" w:rsidRPr="00452997" w:rsidRDefault="0053649C" w:rsidP="00452997">
      <w:pPr>
        <w:ind w:firstLine="0"/>
        <w:rPr>
          <w:rFonts w:cs="Times New Roman"/>
          <w:szCs w:val="24"/>
        </w:rPr>
      </w:pPr>
      <w:r w:rsidRPr="00452997">
        <w:rPr>
          <w:rFonts w:cs="Times New Roman"/>
          <w:b/>
          <w:szCs w:val="24"/>
        </w:rPr>
        <w:t>Statements of Operations/Income</w:t>
      </w:r>
    </w:p>
    <w:p w14:paraId="5B61A1DC" w14:textId="674ED741" w:rsidR="00F2172E" w:rsidRPr="00452997" w:rsidRDefault="0053649C" w:rsidP="00452997">
      <w:pPr>
        <w:ind w:firstLine="0"/>
        <w:rPr>
          <w:rFonts w:cs="Times New Roman"/>
          <w:i/>
          <w:iCs/>
          <w:szCs w:val="24"/>
        </w:rPr>
      </w:pPr>
      <w:r w:rsidRPr="00452997">
        <w:rPr>
          <w:rFonts w:cs="Times New Roman"/>
          <w:b/>
          <w:i/>
          <w:iCs/>
          <w:szCs w:val="24"/>
        </w:rPr>
        <w:t>Table 3</w:t>
      </w:r>
      <w:r w:rsidR="00AB4780" w:rsidRPr="00452997">
        <w:rPr>
          <w:rFonts w:cs="Times New Roman"/>
          <w:b/>
          <w:i/>
          <w:iCs/>
          <w:szCs w:val="24"/>
        </w:rPr>
        <w:t xml:space="preserve">: </w:t>
      </w:r>
      <w:r w:rsidRPr="00452997">
        <w:rPr>
          <w:rFonts w:cs="Times New Roman"/>
          <w:b/>
          <w:i/>
          <w:iCs/>
          <w:szCs w:val="24"/>
        </w:rPr>
        <w:t>Palantir Technologies Inc. Selected Statement of Operations Data (in thousands)</w:t>
      </w:r>
    </w:p>
    <w:tbl>
      <w:tblPr>
        <w:tblStyle w:val="TableGrid"/>
        <w:tblW w:w="0" w:type="auto"/>
        <w:jc w:val="center"/>
        <w:tblLook w:val="04A0" w:firstRow="1" w:lastRow="0" w:firstColumn="1" w:lastColumn="0" w:noHBand="0" w:noVBand="1"/>
      </w:tblPr>
      <w:tblGrid>
        <w:gridCol w:w="3117"/>
        <w:gridCol w:w="3117"/>
        <w:gridCol w:w="3116"/>
      </w:tblGrid>
      <w:tr w:rsidR="00F2172E" w:rsidRPr="00452997" w14:paraId="05A4493F" w14:textId="77777777">
        <w:trPr>
          <w:jc w:val="center"/>
        </w:trPr>
        <w:tc>
          <w:tcPr>
            <w:tcW w:w="3120" w:type="dxa"/>
            <w:tcMar>
              <w:top w:w="60" w:type="dxa"/>
              <w:left w:w="60" w:type="dxa"/>
              <w:bottom w:w="60" w:type="dxa"/>
              <w:right w:w="60" w:type="dxa"/>
            </w:tcMar>
            <w:vAlign w:val="center"/>
          </w:tcPr>
          <w:p w14:paraId="4B8B6AC9" w14:textId="77777777" w:rsidR="00F2172E" w:rsidRPr="00452997" w:rsidRDefault="0053649C" w:rsidP="00452997">
            <w:pPr>
              <w:ind w:firstLine="0"/>
              <w:rPr>
                <w:rFonts w:cs="Times New Roman"/>
                <w:szCs w:val="24"/>
              </w:rPr>
            </w:pPr>
            <w:r w:rsidRPr="00452997">
              <w:rPr>
                <w:rFonts w:cs="Times New Roman"/>
                <w:b/>
                <w:szCs w:val="24"/>
              </w:rPr>
              <w:t>Financial Category</w:t>
            </w:r>
          </w:p>
        </w:tc>
        <w:tc>
          <w:tcPr>
            <w:tcW w:w="3120" w:type="dxa"/>
            <w:tcMar>
              <w:top w:w="60" w:type="dxa"/>
              <w:left w:w="60" w:type="dxa"/>
              <w:bottom w:w="60" w:type="dxa"/>
              <w:right w:w="60" w:type="dxa"/>
            </w:tcMar>
            <w:vAlign w:val="center"/>
          </w:tcPr>
          <w:p w14:paraId="3E8C7025" w14:textId="77777777" w:rsidR="00F2172E" w:rsidRPr="00452997" w:rsidRDefault="0053649C" w:rsidP="00452997">
            <w:pPr>
              <w:ind w:firstLine="0"/>
              <w:rPr>
                <w:rFonts w:cs="Times New Roman"/>
                <w:szCs w:val="24"/>
              </w:rPr>
            </w:pPr>
            <w:r w:rsidRPr="00452997">
              <w:rPr>
                <w:rFonts w:cs="Times New Roman"/>
                <w:b/>
                <w:szCs w:val="24"/>
              </w:rPr>
              <w:t>Three Months Ended March 31, 2026</w:t>
            </w:r>
          </w:p>
        </w:tc>
        <w:tc>
          <w:tcPr>
            <w:tcW w:w="3120" w:type="dxa"/>
            <w:tcMar>
              <w:top w:w="60" w:type="dxa"/>
              <w:left w:w="60" w:type="dxa"/>
              <w:bottom w:w="60" w:type="dxa"/>
              <w:right w:w="60" w:type="dxa"/>
            </w:tcMar>
            <w:vAlign w:val="center"/>
          </w:tcPr>
          <w:p w14:paraId="2CB70E17" w14:textId="77777777" w:rsidR="00F2172E" w:rsidRPr="00452997" w:rsidRDefault="0053649C" w:rsidP="00452997">
            <w:pPr>
              <w:ind w:firstLine="0"/>
              <w:rPr>
                <w:rFonts w:cs="Times New Roman"/>
                <w:szCs w:val="24"/>
              </w:rPr>
            </w:pPr>
            <w:r w:rsidRPr="00452997">
              <w:rPr>
                <w:rFonts w:cs="Times New Roman"/>
                <w:b/>
                <w:szCs w:val="24"/>
              </w:rPr>
              <w:t>Three Months Ended March 31, 2025</w:t>
            </w:r>
          </w:p>
        </w:tc>
      </w:tr>
      <w:tr w:rsidR="00F2172E" w:rsidRPr="00452997" w14:paraId="4F1271B8" w14:textId="77777777">
        <w:trPr>
          <w:jc w:val="center"/>
        </w:trPr>
        <w:tc>
          <w:tcPr>
            <w:tcW w:w="3120" w:type="dxa"/>
            <w:tcMar>
              <w:top w:w="60" w:type="dxa"/>
              <w:left w:w="60" w:type="dxa"/>
              <w:bottom w:w="60" w:type="dxa"/>
              <w:right w:w="60" w:type="dxa"/>
            </w:tcMar>
            <w:vAlign w:val="center"/>
          </w:tcPr>
          <w:p w14:paraId="0A9AB4E8" w14:textId="77777777" w:rsidR="00F2172E" w:rsidRPr="00452997" w:rsidRDefault="0053649C" w:rsidP="00452997">
            <w:pPr>
              <w:ind w:firstLine="0"/>
              <w:rPr>
                <w:rFonts w:cs="Times New Roman"/>
                <w:szCs w:val="24"/>
              </w:rPr>
            </w:pPr>
            <w:r w:rsidRPr="00452997">
              <w:rPr>
                <w:rFonts w:cs="Times New Roman"/>
                <w:szCs w:val="24"/>
              </w:rPr>
              <w:t>Net Revenues</w:t>
            </w:r>
          </w:p>
        </w:tc>
        <w:tc>
          <w:tcPr>
            <w:tcW w:w="3120" w:type="dxa"/>
            <w:tcMar>
              <w:top w:w="60" w:type="dxa"/>
              <w:left w:w="60" w:type="dxa"/>
              <w:bottom w:w="60" w:type="dxa"/>
              <w:right w:w="60" w:type="dxa"/>
            </w:tcMar>
            <w:vAlign w:val="center"/>
          </w:tcPr>
          <w:p w14:paraId="6C1AD28A" w14:textId="77777777" w:rsidR="00F2172E" w:rsidRPr="00452997" w:rsidRDefault="0053649C" w:rsidP="00452997">
            <w:pPr>
              <w:ind w:firstLine="0"/>
              <w:jc w:val="right"/>
              <w:rPr>
                <w:rFonts w:cs="Times New Roman"/>
                <w:szCs w:val="24"/>
              </w:rPr>
            </w:pPr>
            <w:r w:rsidRPr="00452997">
              <w:rPr>
                <w:rFonts w:cs="Times New Roman"/>
                <w:szCs w:val="24"/>
              </w:rPr>
              <w:t>$1,632,583</w:t>
            </w:r>
          </w:p>
        </w:tc>
        <w:tc>
          <w:tcPr>
            <w:tcW w:w="3120" w:type="dxa"/>
            <w:tcMar>
              <w:top w:w="60" w:type="dxa"/>
              <w:left w:w="60" w:type="dxa"/>
              <w:bottom w:w="60" w:type="dxa"/>
              <w:right w:w="60" w:type="dxa"/>
            </w:tcMar>
            <w:vAlign w:val="center"/>
          </w:tcPr>
          <w:p w14:paraId="5C0BE30E" w14:textId="77777777" w:rsidR="00F2172E" w:rsidRPr="00452997" w:rsidRDefault="0053649C" w:rsidP="00452997">
            <w:pPr>
              <w:ind w:firstLine="0"/>
              <w:jc w:val="right"/>
              <w:rPr>
                <w:rFonts w:cs="Times New Roman"/>
                <w:szCs w:val="24"/>
              </w:rPr>
            </w:pPr>
            <w:r w:rsidRPr="00452997">
              <w:rPr>
                <w:rFonts w:cs="Times New Roman"/>
                <w:szCs w:val="24"/>
              </w:rPr>
              <w:t>$883,855</w:t>
            </w:r>
          </w:p>
        </w:tc>
      </w:tr>
      <w:tr w:rsidR="00F2172E" w:rsidRPr="00452997" w14:paraId="3472A290" w14:textId="77777777">
        <w:trPr>
          <w:jc w:val="center"/>
        </w:trPr>
        <w:tc>
          <w:tcPr>
            <w:tcW w:w="3120" w:type="dxa"/>
            <w:tcMar>
              <w:top w:w="60" w:type="dxa"/>
              <w:left w:w="60" w:type="dxa"/>
              <w:bottom w:w="60" w:type="dxa"/>
              <w:right w:w="60" w:type="dxa"/>
            </w:tcMar>
            <w:vAlign w:val="center"/>
          </w:tcPr>
          <w:p w14:paraId="11A16D53" w14:textId="77777777" w:rsidR="00F2172E" w:rsidRPr="00452997" w:rsidRDefault="0053649C" w:rsidP="00452997">
            <w:pPr>
              <w:ind w:firstLine="0"/>
              <w:rPr>
                <w:rFonts w:cs="Times New Roman"/>
                <w:szCs w:val="24"/>
              </w:rPr>
            </w:pPr>
            <w:r w:rsidRPr="00452997">
              <w:rPr>
                <w:rFonts w:cs="Times New Roman"/>
                <w:szCs w:val="24"/>
              </w:rPr>
              <w:t>Gross Profit/Loss</w:t>
            </w:r>
          </w:p>
        </w:tc>
        <w:tc>
          <w:tcPr>
            <w:tcW w:w="3120" w:type="dxa"/>
            <w:tcMar>
              <w:top w:w="60" w:type="dxa"/>
              <w:left w:w="60" w:type="dxa"/>
              <w:bottom w:w="60" w:type="dxa"/>
              <w:right w:w="60" w:type="dxa"/>
            </w:tcMar>
            <w:vAlign w:val="center"/>
          </w:tcPr>
          <w:p w14:paraId="78EBB595" w14:textId="77777777" w:rsidR="00F2172E" w:rsidRPr="00452997" w:rsidRDefault="0053649C" w:rsidP="00452997">
            <w:pPr>
              <w:ind w:firstLine="0"/>
              <w:jc w:val="right"/>
              <w:rPr>
                <w:rFonts w:cs="Times New Roman"/>
                <w:szCs w:val="24"/>
              </w:rPr>
            </w:pPr>
            <w:r w:rsidRPr="00452997">
              <w:rPr>
                <w:rFonts w:cs="Times New Roman"/>
                <w:szCs w:val="24"/>
              </w:rPr>
              <w:t>$1,416,785</w:t>
            </w:r>
          </w:p>
        </w:tc>
        <w:tc>
          <w:tcPr>
            <w:tcW w:w="3120" w:type="dxa"/>
            <w:tcMar>
              <w:top w:w="60" w:type="dxa"/>
              <w:left w:w="60" w:type="dxa"/>
              <w:bottom w:w="60" w:type="dxa"/>
              <w:right w:w="60" w:type="dxa"/>
            </w:tcMar>
            <w:vAlign w:val="center"/>
          </w:tcPr>
          <w:p w14:paraId="05A20A52" w14:textId="77777777" w:rsidR="00F2172E" w:rsidRPr="00452997" w:rsidRDefault="0053649C" w:rsidP="00452997">
            <w:pPr>
              <w:ind w:firstLine="0"/>
              <w:jc w:val="right"/>
              <w:rPr>
                <w:rFonts w:cs="Times New Roman"/>
                <w:szCs w:val="24"/>
              </w:rPr>
            </w:pPr>
            <w:r w:rsidRPr="00452997">
              <w:rPr>
                <w:rFonts w:cs="Times New Roman"/>
                <w:szCs w:val="24"/>
              </w:rPr>
              <w:t>$710,885</w:t>
            </w:r>
          </w:p>
        </w:tc>
      </w:tr>
      <w:tr w:rsidR="00F2172E" w:rsidRPr="00452997" w14:paraId="1E21B574" w14:textId="77777777">
        <w:trPr>
          <w:jc w:val="center"/>
        </w:trPr>
        <w:tc>
          <w:tcPr>
            <w:tcW w:w="3120" w:type="dxa"/>
            <w:tcMar>
              <w:top w:w="60" w:type="dxa"/>
              <w:left w:w="60" w:type="dxa"/>
              <w:bottom w:w="60" w:type="dxa"/>
              <w:right w:w="60" w:type="dxa"/>
            </w:tcMar>
            <w:vAlign w:val="center"/>
          </w:tcPr>
          <w:p w14:paraId="2CD33FB0" w14:textId="77777777" w:rsidR="00F2172E" w:rsidRPr="00452997" w:rsidRDefault="0053649C" w:rsidP="00452997">
            <w:pPr>
              <w:ind w:firstLine="0"/>
              <w:rPr>
                <w:rFonts w:cs="Times New Roman"/>
                <w:szCs w:val="24"/>
              </w:rPr>
            </w:pPr>
            <w:r w:rsidRPr="00452997">
              <w:rPr>
                <w:rFonts w:cs="Times New Roman"/>
                <w:szCs w:val="24"/>
              </w:rPr>
              <w:t>Total Operating Expenses</w:t>
            </w:r>
          </w:p>
        </w:tc>
        <w:tc>
          <w:tcPr>
            <w:tcW w:w="3120" w:type="dxa"/>
            <w:tcMar>
              <w:top w:w="60" w:type="dxa"/>
              <w:left w:w="60" w:type="dxa"/>
              <w:bottom w:w="60" w:type="dxa"/>
              <w:right w:w="60" w:type="dxa"/>
            </w:tcMar>
            <w:vAlign w:val="center"/>
          </w:tcPr>
          <w:p w14:paraId="3F3F0074" w14:textId="77777777" w:rsidR="00F2172E" w:rsidRPr="00452997" w:rsidRDefault="0053649C" w:rsidP="00452997">
            <w:pPr>
              <w:ind w:firstLine="0"/>
              <w:jc w:val="right"/>
              <w:rPr>
                <w:rFonts w:cs="Times New Roman"/>
                <w:szCs w:val="24"/>
              </w:rPr>
            </w:pPr>
            <w:r w:rsidRPr="00452997">
              <w:rPr>
                <w:rFonts w:cs="Times New Roman"/>
                <w:szCs w:val="24"/>
              </w:rPr>
              <w:t>$662,787</w:t>
            </w:r>
          </w:p>
        </w:tc>
        <w:tc>
          <w:tcPr>
            <w:tcW w:w="3120" w:type="dxa"/>
            <w:tcMar>
              <w:top w:w="60" w:type="dxa"/>
              <w:left w:w="60" w:type="dxa"/>
              <w:bottom w:w="60" w:type="dxa"/>
              <w:right w:w="60" w:type="dxa"/>
            </w:tcMar>
            <w:vAlign w:val="center"/>
          </w:tcPr>
          <w:p w14:paraId="6F0140D9" w14:textId="77777777" w:rsidR="00F2172E" w:rsidRPr="00452997" w:rsidRDefault="0053649C" w:rsidP="00452997">
            <w:pPr>
              <w:ind w:firstLine="0"/>
              <w:jc w:val="right"/>
              <w:rPr>
                <w:rFonts w:cs="Times New Roman"/>
                <w:szCs w:val="24"/>
              </w:rPr>
            </w:pPr>
            <w:r w:rsidRPr="00452997">
              <w:rPr>
                <w:rFonts w:cs="Times New Roman"/>
                <w:szCs w:val="24"/>
              </w:rPr>
              <w:t>$534,837</w:t>
            </w:r>
          </w:p>
        </w:tc>
      </w:tr>
      <w:tr w:rsidR="00F2172E" w:rsidRPr="00452997" w14:paraId="6E6A1D7F" w14:textId="77777777">
        <w:trPr>
          <w:jc w:val="center"/>
        </w:trPr>
        <w:tc>
          <w:tcPr>
            <w:tcW w:w="3120" w:type="dxa"/>
            <w:tcMar>
              <w:top w:w="60" w:type="dxa"/>
              <w:left w:w="60" w:type="dxa"/>
              <w:bottom w:w="60" w:type="dxa"/>
              <w:right w:w="60" w:type="dxa"/>
            </w:tcMar>
            <w:vAlign w:val="center"/>
          </w:tcPr>
          <w:p w14:paraId="0E3AD6EB" w14:textId="77777777" w:rsidR="00F2172E" w:rsidRPr="00452997" w:rsidRDefault="0053649C" w:rsidP="00452997">
            <w:pPr>
              <w:ind w:firstLine="0"/>
              <w:rPr>
                <w:rFonts w:cs="Times New Roman"/>
                <w:szCs w:val="24"/>
              </w:rPr>
            </w:pPr>
            <w:r w:rsidRPr="00452997">
              <w:rPr>
                <w:rFonts w:cs="Times New Roman"/>
                <w:szCs w:val="24"/>
              </w:rPr>
              <w:t>Income Tax Expense</w:t>
            </w:r>
          </w:p>
        </w:tc>
        <w:tc>
          <w:tcPr>
            <w:tcW w:w="3120" w:type="dxa"/>
            <w:tcMar>
              <w:top w:w="60" w:type="dxa"/>
              <w:left w:w="60" w:type="dxa"/>
              <w:bottom w:w="60" w:type="dxa"/>
              <w:right w:w="60" w:type="dxa"/>
            </w:tcMar>
            <w:vAlign w:val="center"/>
          </w:tcPr>
          <w:p w14:paraId="0253BC8F" w14:textId="77777777" w:rsidR="00F2172E" w:rsidRPr="00452997" w:rsidRDefault="0053649C" w:rsidP="00452997">
            <w:pPr>
              <w:ind w:firstLine="0"/>
              <w:jc w:val="right"/>
              <w:rPr>
                <w:rFonts w:cs="Times New Roman"/>
                <w:szCs w:val="24"/>
              </w:rPr>
            </w:pPr>
            <w:r w:rsidRPr="00452997">
              <w:rPr>
                <w:rFonts w:cs="Times New Roman"/>
                <w:szCs w:val="24"/>
              </w:rPr>
              <w:t>$12,199</w:t>
            </w:r>
          </w:p>
        </w:tc>
        <w:tc>
          <w:tcPr>
            <w:tcW w:w="3120" w:type="dxa"/>
            <w:tcMar>
              <w:top w:w="60" w:type="dxa"/>
              <w:left w:w="60" w:type="dxa"/>
              <w:bottom w:w="60" w:type="dxa"/>
              <w:right w:w="60" w:type="dxa"/>
            </w:tcMar>
            <w:vAlign w:val="center"/>
          </w:tcPr>
          <w:p w14:paraId="61755C7D" w14:textId="77777777" w:rsidR="00F2172E" w:rsidRPr="00452997" w:rsidRDefault="0053649C" w:rsidP="00452997">
            <w:pPr>
              <w:ind w:firstLine="0"/>
              <w:jc w:val="right"/>
              <w:rPr>
                <w:rFonts w:cs="Times New Roman"/>
                <w:szCs w:val="24"/>
              </w:rPr>
            </w:pPr>
            <w:r w:rsidRPr="00452997">
              <w:rPr>
                <w:rFonts w:cs="Times New Roman"/>
                <w:szCs w:val="24"/>
              </w:rPr>
              <w:t>$5,599</w:t>
            </w:r>
          </w:p>
        </w:tc>
      </w:tr>
      <w:tr w:rsidR="00F2172E" w:rsidRPr="00452997" w14:paraId="47511FF6" w14:textId="77777777">
        <w:trPr>
          <w:jc w:val="center"/>
        </w:trPr>
        <w:tc>
          <w:tcPr>
            <w:tcW w:w="3120" w:type="dxa"/>
            <w:tcMar>
              <w:top w:w="60" w:type="dxa"/>
              <w:left w:w="60" w:type="dxa"/>
              <w:bottom w:w="60" w:type="dxa"/>
              <w:right w:w="60" w:type="dxa"/>
            </w:tcMar>
            <w:vAlign w:val="center"/>
          </w:tcPr>
          <w:p w14:paraId="77FA8C2A" w14:textId="77777777" w:rsidR="00F2172E" w:rsidRPr="00452997" w:rsidRDefault="0053649C" w:rsidP="00452997">
            <w:pPr>
              <w:ind w:firstLine="0"/>
              <w:rPr>
                <w:rFonts w:cs="Times New Roman"/>
                <w:szCs w:val="24"/>
              </w:rPr>
            </w:pPr>
            <w:r w:rsidRPr="00452997">
              <w:rPr>
                <w:rFonts w:cs="Times New Roman"/>
                <w:szCs w:val="24"/>
              </w:rPr>
              <w:t>Net Loss/Income</w:t>
            </w:r>
          </w:p>
        </w:tc>
        <w:tc>
          <w:tcPr>
            <w:tcW w:w="3120" w:type="dxa"/>
            <w:tcMar>
              <w:top w:w="60" w:type="dxa"/>
              <w:left w:w="60" w:type="dxa"/>
              <w:bottom w:w="60" w:type="dxa"/>
              <w:right w:w="60" w:type="dxa"/>
            </w:tcMar>
            <w:vAlign w:val="center"/>
          </w:tcPr>
          <w:p w14:paraId="61E03159" w14:textId="77777777" w:rsidR="00F2172E" w:rsidRPr="00452997" w:rsidRDefault="0053649C" w:rsidP="00452997">
            <w:pPr>
              <w:ind w:firstLine="0"/>
              <w:jc w:val="right"/>
              <w:rPr>
                <w:rFonts w:cs="Times New Roman"/>
                <w:szCs w:val="24"/>
              </w:rPr>
            </w:pPr>
            <w:r w:rsidRPr="00452997">
              <w:rPr>
                <w:rFonts w:cs="Times New Roman"/>
                <w:szCs w:val="24"/>
              </w:rPr>
              <w:t>$876,402</w:t>
            </w:r>
          </w:p>
        </w:tc>
        <w:tc>
          <w:tcPr>
            <w:tcW w:w="3120" w:type="dxa"/>
            <w:tcMar>
              <w:top w:w="60" w:type="dxa"/>
              <w:left w:w="60" w:type="dxa"/>
              <w:bottom w:w="60" w:type="dxa"/>
              <w:right w:w="60" w:type="dxa"/>
            </w:tcMar>
            <w:vAlign w:val="center"/>
          </w:tcPr>
          <w:p w14:paraId="70D21A8A" w14:textId="77777777" w:rsidR="00F2172E" w:rsidRPr="00452997" w:rsidRDefault="0053649C" w:rsidP="00452997">
            <w:pPr>
              <w:ind w:firstLine="0"/>
              <w:jc w:val="right"/>
              <w:rPr>
                <w:rFonts w:cs="Times New Roman"/>
                <w:szCs w:val="24"/>
              </w:rPr>
            </w:pPr>
            <w:r w:rsidRPr="00452997">
              <w:rPr>
                <w:rFonts w:cs="Times New Roman"/>
                <w:szCs w:val="24"/>
              </w:rPr>
              <w:t>$217,717</w:t>
            </w:r>
          </w:p>
        </w:tc>
      </w:tr>
    </w:tbl>
    <w:p w14:paraId="0E43F5B7" w14:textId="77777777" w:rsidR="00F2172E" w:rsidRPr="00452997" w:rsidRDefault="0053649C" w:rsidP="00452997">
      <w:pPr>
        <w:ind w:firstLine="0"/>
        <w:rPr>
          <w:rFonts w:cs="Times New Roman"/>
          <w:i/>
          <w:iCs/>
          <w:szCs w:val="24"/>
        </w:rPr>
      </w:pPr>
      <w:r w:rsidRPr="00452997">
        <w:rPr>
          <w:rFonts w:cs="Times New Roman"/>
          <w:i/>
          <w:iCs/>
          <w:szCs w:val="24"/>
        </w:rPr>
        <w:t>Source: Form 10-Q, Palantir Technologies Inc.</w:t>
      </w:r>
    </w:p>
    <w:p w14:paraId="47A7EA8D" w14:textId="77777777" w:rsidR="003320AB" w:rsidRPr="00452997" w:rsidRDefault="003320AB" w:rsidP="00452997">
      <w:pPr>
        <w:pStyle w:val="NormalWeb"/>
        <w:spacing w:before="0" w:beforeAutospacing="0" w:after="0" w:afterAutospacing="0" w:line="480" w:lineRule="auto"/>
        <w:ind w:firstLine="720"/>
      </w:pPr>
      <w:r w:rsidRPr="00452997">
        <w:t>The United States Securities and Exchange Commission (2021) states that an income statement reports on the revenue and expenses incurred by a company for a period of reporting. The gross profit minus the customer costs, including customer value, and the actual two minus the customer costs are the net revenues and gross profits, respectively. These are all the operating costs, such as selling costs, research and development costs, and administrative costs, among other operating activities that are essential to operate and grow the business. The part of the income that is paid out as taxes is the income tax expense, and the net income is the amount of income that has been left after all the costs have been deducted. Palantir Technologies Inc. (2026)'s revenue for the three months that ended in Mar. 2026 was $1.633B, an increase from $883.855M in the preceding three months ended in Mar. 2025. Gross profit increased 101 percent from $710.885 million to 1.417 billion, and the total operating expenses increased by 24 percent from 534.837 million to 662.787 million. The expenses on income tax increased to 12.199 million (considering this is the expense on income tax, not the paid amount on income tax), and the net income also increased to 876.402 million. In all of these four comparisons, Palantir has had a higher rate of revenue increase than the increase in operating expenses, and as a result, the company has become more profitable. Gross profit and net income improve at the higher level as it indicates that there is an increase in the operating leverage and the costs involved as the platform, people, sales, and research are all invested in growth.</w:t>
      </w:r>
    </w:p>
    <w:p w14:paraId="0FDDFB57" w14:textId="77777777" w:rsidR="003320AB" w:rsidRPr="00452997" w:rsidRDefault="003320AB" w:rsidP="00452997">
      <w:pPr>
        <w:pStyle w:val="NormalWeb"/>
        <w:spacing w:before="0" w:beforeAutospacing="0" w:after="0" w:afterAutospacing="0" w:line="480" w:lineRule="auto"/>
        <w:rPr>
          <w:b/>
          <w:bCs/>
        </w:rPr>
      </w:pPr>
      <w:r w:rsidRPr="00452997">
        <w:rPr>
          <w:b/>
          <w:bCs/>
        </w:rPr>
        <w:t>Risk Factors</w:t>
      </w:r>
    </w:p>
    <w:p w14:paraId="52000375" w14:textId="77777777" w:rsidR="003320AB" w:rsidRPr="00452997" w:rsidRDefault="003320AB" w:rsidP="00452997">
      <w:pPr>
        <w:pStyle w:val="NormalWeb"/>
        <w:spacing w:before="0" w:beforeAutospacing="0" w:after="0" w:afterAutospacing="0" w:line="480" w:lineRule="auto"/>
        <w:ind w:firstLine="720"/>
        <w:contextualSpacing/>
      </w:pPr>
      <w:r w:rsidRPr="00452997">
        <w:t>Palantir Technologies Inc. (2026) states that one of the significant risks is reliance on contracts with the government since fluctuations in the government budget, procurement priorities, contract awards, or policies concerning the contracting procedures may impact revenues and growth. It is a material risk, as much of the business of Palantir is government revenue. Another is that many customer contracts might fail to realize their deal value due to provisions for "termination for convenience" or that the contracts are not fully expanded or renewed. This can lower the anticipated revenue or stall the recognition of the revenue in some respects, or even result in refunding the deposit. The third threat is associated with privacy, data protection, cybersecurity, and technology regulation. Since Palantir products are deployed with sensitive data, legal or regulatory concerns might arise in the business of rolling out this technology to sensitive public and commercial use cases, and they may lead to fines, reputational pressure, and drag on contracts or compliance costs. It may impact income, costs and expenses, cash flow, and investor confidence.</w:t>
      </w:r>
    </w:p>
    <w:p w14:paraId="65918AF3" w14:textId="77777777" w:rsidR="003320AB" w:rsidRPr="00452997" w:rsidRDefault="003320AB" w:rsidP="00452997">
      <w:pPr>
        <w:pStyle w:val="NormalWeb"/>
        <w:spacing w:before="0" w:beforeAutospacing="0" w:after="0" w:afterAutospacing="0" w:line="480" w:lineRule="auto"/>
        <w:contextualSpacing/>
        <w:rPr>
          <w:b/>
          <w:bCs/>
        </w:rPr>
      </w:pPr>
      <w:r w:rsidRPr="00452997">
        <w:rPr>
          <w:b/>
          <w:bCs/>
        </w:rPr>
        <w:t>In the News</w:t>
      </w:r>
    </w:p>
    <w:p w14:paraId="1B8C7840" w14:textId="77777777" w:rsidR="003320AB" w:rsidRPr="00452997" w:rsidRDefault="003320AB" w:rsidP="00452997">
      <w:pPr>
        <w:pStyle w:val="NormalWeb"/>
        <w:spacing w:before="0" w:beforeAutospacing="0" w:after="0" w:afterAutospacing="0" w:line="480" w:lineRule="auto"/>
        <w:ind w:firstLine="720"/>
        <w:contextualSpacing/>
      </w:pPr>
      <w:r w:rsidRPr="00452997">
        <w:t>According to Singh (2026), Palantir has improved its annual revenue forecast with the strong demand for its products among clients in the United States government and has provided the first quarter revenue higher than expectations. According to this news, the Palantir financial statements have been subsequently rising with the especially high turnover in revenues, gross profit, and net income in the 10-Q. The increased significance of government procurement, government contract performance risk, and future revenue visibility can be at the expense of strong government demand. London Mayor Sadiq Khan has opposed the Met Police's intention to enter into an Artificial Intelligence (AI) contract with technology developer Palantir, which has an estimated value of 50 million, due to concerns over how it procures and ethical considerations. The financial aspects have consequences: It suggests that growth opportunities of Palantir in the government sector might be a political, regulatory, and reputational dead end. Even with the tremendous need for technology, AI, surveillance, and public procurement will be controversial, which will be a slowdown or death of revenue opportunities.</w:t>
      </w:r>
    </w:p>
    <w:p w14:paraId="76EDFF45" w14:textId="77777777" w:rsidR="003320AB" w:rsidRPr="00452997" w:rsidRDefault="003320AB" w:rsidP="00452997">
      <w:pPr>
        <w:pStyle w:val="NormalWeb"/>
        <w:spacing w:before="0" w:beforeAutospacing="0" w:after="0" w:afterAutospacing="0" w:line="480" w:lineRule="auto"/>
        <w:jc w:val="center"/>
        <w:rPr>
          <w:b/>
          <w:bCs/>
        </w:rPr>
      </w:pPr>
      <w:r w:rsidRPr="00452997">
        <w:rPr>
          <w:b/>
          <w:bCs/>
        </w:rPr>
        <w:t>Conclusion</w:t>
      </w:r>
    </w:p>
    <w:p w14:paraId="2366F9F9" w14:textId="77777777" w:rsidR="003320AB" w:rsidRPr="00452997" w:rsidRDefault="003320AB" w:rsidP="00452997">
      <w:pPr>
        <w:pStyle w:val="NormalWeb"/>
        <w:spacing w:before="0" w:beforeAutospacing="0" w:after="0" w:afterAutospacing="0" w:line="480" w:lineRule="auto"/>
        <w:ind w:firstLine="720"/>
      </w:pPr>
      <w:r w:rsidRPr="00452997">
        <w:t>According to the financial statement of this company in 1Q26, the company recorded wonderful profits with very high liquidity, more assets, and more obligations. On the financial front, the business appears to be healthy, but customer demand; handling risks related to the work in the public sector; keeping operating costs low; and reputation will be crucial factors that affect the business performance of both companies in the most sensitive field of AI and data.</w:t>
      </w:r>
    </w:p>
    <w:p w14:paraId="501BCFAB" w14:textId="501C9774" w:rsidR="00F2172E" w:rsidRPr="00452997" w:rsidRDefault="0053649C" w:rsidP="00452997">
      <w:pPr>
        <w:pStyle w:val="NormalWeb"/>
        <w:spacing w:before="0" w:beforeAutospacing="0" w:after="0" w:afterAutospacing="0" w:line="480" w:lineRule="auto"/>
        <w:ind w:firstLine="720"/>
      </w:pPr>
      <w:r w:rsidRPr="00452997">
        <w:br w:type="page"/>
      </w:r>
    </w:p>
    <w:p w14:paraId="55FAAC82" w14:textId="77777777" w:rsidR="00F2172E" w:rsidRPr="00452997" w:rsidRDefault="0053649C" w:rsidP="001D4815">
      <w:pPr>
        <w:ind w:firstLine="0"/>
        <w:jc w:val="center"/>
        <w:rPr>
          <w:rFonts w:cs="Times New Roman"/>
          <w:szCs w:val="24"/>
        </w:rPr>
      </w:pPr>
      <w:r w:rsidRPr="00452997">
        <w:rPr>
          <w:rFonts w:cs="Times New Roman"/>
          <w:b/>
          <w:szCs w:val="24"/>
        </w:rPr>
        <w:t>References</w:t>
      </w:r>
    </w:p>
    <w:p w14:paraId="6D809A05" w14:textId="7C61F62F" w:rsidR="008647E3" w:rsidRPr="00452997" w:rsidRDefault="008647E3" w:rsidP="00452997">
      <w:pPr>
        <w:ind w:left="720" w:hanging="720"/>
        <w:rPr>
          <w:rFonts w:cs="Times New Roman"/>
          <w:szCs w:val="24"/>
        </w:rPr>
      </w:pPr>
      <w:r w:rsidRPr="00452997">
        <w:rPr>
          <w:rFonts w:cs="Times New Roman"/>
          <w:szCs w:val="24"/>
        </w:rPr>
        <w:t xml:space="preserve">Booth, R. (2026, May 21). Sadiq Khan sparks row with Met after blocking £50m AI deal with Palantir. The Guardian. </w:t>
      </w:r>
      <w:hyperlink r:id="rId8" w:history="1">
        <w:r w:rsidR="001D4815" w:rsidRPr="00D740C5">
          <w:rPr>
            <w:rStyle w:val="Hyperlink"/>
            <w:rFonts w:cs="Times New Roman"/>
            <w:szCs w:val="24"/>
          </w:rPr>
          <w:t>https://www.theguardian.com/uk-news/2026/may/21/london-mayor-sadiq-khan-blocks-met-police-deal-with-palantir</w:t>
        </w:r>
      </w:hyperlink>
      <w:r w:rsidR="001D4815">
        <w:rPr>
          <w:rFonts w:cs="Times New Roman"/>
          <w:szCs w:val="24"/>
        </w:rPr>
        <w:t xml:space="preserve"> </w:t>
      </w:r>
    </w:p>
    <w:p w14:paraId="79A1AD85" w14:textId="46EBEDEC" w:rsidR="008647E3" w:rsidRPr="00452997" w:rsidRDefault="008647E3" w:rsidP="00452997">
      <w:pPr>
        <w:ind w:left="720" w:hanging="720"/>
        <w:rPr>
          <w:rFonts w:cs="Times New Roman"/>
          <w:szCs w:val="24"/>
        </w:rPr>
      </w:pPr>
      <w:r w:rsidRPr="00452997">
        <w:rPr>
          <w:rFonts w:cs="Times New Roman"/>
          <w:szCs w:val="24"/>
        </w:rPr>
        <w:t xml:space="preserve">Palantir Technologies Inc. (2026). Form 10-Q for the quarterly period ended March 31, 2026. U.S. Securities and Exchange Commission. </w:t>
      </w:r>
      <w:hyperlink r:id="rId9" w:history="1">
        <w:r w:rsidR="001D4815" w:rsidRPr="00D740C5">
          <w:rPr>
            <w:rStyle w:val="Hyperlink"/>
            <w:rFonts w:cs="Times New Roman"/>
            <w:szCs w:val="24"/>
          </w:rPr>
          <w:t>https://investors.palantir.com/files/2026%20Q1%20PLTR%2010-Q.pdf</w:t>
        </w:r>
      </w:hyperlink>
      <w:r w:rsidR="001D4815">
        <w:rPr>
          <w:rFonts w:cs="Times New Roman"/>
          <w:szCs w:val="24"/>
        </w:rPr>
        <w:t xml:space="preserve"> </w:t>
      </w:r>
    </w:p>
    <w:p w14:paraId="4A8AC353" w14:textId="69CFC34B" w:rsidR="008647E3" w:rsidRPr="00452997" w:rsidRDefault="008647E3" w:rsidP="00452997">
      <w:pPr>
        <w:ind w:left="720" w:hanging="720"/>
        <w:rPr>
          <w:rFonts w:cs="Times New Roman"/>
          <w:szCs w:val="24"/>
        </w:rPr>
      </w:pPr>
      <w:r w:rsidRPr="00452997">
        <w:rPr>
          <w:rFonts w:cs="Times New Roman"/>
          <w:szCs w:val="24"/>
        </w:rPr>
        <w:t xml:space="preserve">Singh, J. (2026, May 4). Palantir lifts annual revenue forecast on robust U.S. government demand. Reuters. </w:t>
      </w:r>
      <w:hyperlink r:id="rId10" w:history="1">
        <w:r w:rsidR="001D4815" w:rsidRPr="00D740C5">
          <w:rPr>
            <w:rStyle w:val="Hyperlink"/>
            <w:rFonts w:cs="Times New Roman"/>
            <w:szCs w:val="24"/>
          </w:rPr>
          <w:t>https://www.reuters.com/business/palantir-tops-first-quarter-revenue-estimates-strong-us-government-demand-2026-05-04/</w:t>
        </w:r>
      </w:hyperlink>
      <w:r w:rsidR="001D4815">
        <w:rPr>
          <w:rFonts w:cs="Times New Roman"/>
          <w:szCs w:val="24"/>
        </w:rPr>
        <w:t xml:space="preserve"> </w:t>
      </w:r>
    </w:p>
    <w:p w14:paraId="4874124E" w14:textId="77777777" w:rsidR="008647E3" w:rsidRPr="00452997" w:rsidRDefault="008647E3" w:rsidP="00452997">
      <w:pPr>
        <w:ind w:left="720" w:hanging="720"/>
        <w:rPr>
          <w:rFonts w:cs="Times New Roman"/>
          <w:szCs w:val="24"/>
        </w:rPr>
      </w:pPr>
      <w:r w:rsidRPr="00452997">
        <w:rPr>
          <w:rFonts w:cs="Times New Roman"/>
          <w:szCs w:val="24"/>
        </w:rPr>
        <w:t xml:space="preserve">U.S. Securities and Exchange Commission. (2021, February 4). Beginners’ guide to financial statements. </w:t>
      </w:r>
      <w:hyperlink r:id="rId11" w:history="1">
        <w:r w:rsidRPr="00452997">
          <w:rPr>
            <w:rStyle w:val="Hyperlink"/>
            <w:rFonts w:cs="Times New Roman"/>
            <w:szCs w:val="24"/>
          </w:rPr>
          <w:t>https://www.sec.gov/about/reports-publications/investorpubsbegfinstmtguide</w:t>
        </w:r>
      </w:hyperlink>
      <w:r w:rsidRPr="00452997">
        <w:rPr>
          <w:rFonts w:cs="Times New Roman"/>
          <w:szCs w:val="24"/>
        </w:rPr>
        <w:t xml:space="preserve"> </w:t>
      </w:r>
    </w:p>
    <w:sectPr w:rsidR="008647E3" w:rsidRPr="00452997" w:rsidSect="0003461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6E261" w14:textId="77777777" w:rsidR="0087632C" w:rsidRDefault="0087632C">
      <w:pPr>
        <w:spacing w:line="240" w:lineRule="auto"/>
      </w:pPr>
      <w:r>
        <w:separator/>
      </w:r>
    </w:p>
  </w:endnote>
  <w:endnote w:type="continuationSeparator" w:id="0">
    <w:p w14:paraId="6E80EC2B" w14:textId="77777777" w:rsidR="0087632C" w:rsidRDefault="008763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EAA58" w14:textId="77777777" w:rsidR="0087632C" w:rsidRDefault="0087632C">
      <w:pPr>
        <w:spacing w:line="240" w:lineRule="auto"/>
      </w:pPr>
      <w:r>
        <w:separator/>
      </w:r>
    </w:p>
  </w:footnote>
  <w:footnote w:type="continuationSeparator" w:id="0">
    <w:p w14:paraId="0D491271" w14:textId="77777777" w:rsidR="0087632C" w:rsidRDefault="008763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761C" w14:textId="77777777" w:rsidR="00F2172E" w:rsidRDefault="0053649C">
    <w:pPr>
      <w:pStyle w:val="Header"/>
      <w:jc w:val="right"/>
    </w:pPr>
    <w:r>
      <w:fldChar w:fldCharType="begin"/>
    </w:r>
    <w:r>
      <w:instrText>PAGE</w:instrText>
    </w:r>
    <w:r>
      <w:fldChar w:fldCharType="separate"/>
    </w:r>
    <w:r w:rsidR="00AB4780">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8949880">
    <w:abstractNumId w:val="8"/>
  </w:num>
  <w:num w:numId="2" w16cid:durableId="37780882">
    <w:abstractNumId w:val="6"/>
  </w:num>
  <w:num w:numId="3" w16cid:durableId="587226615">
    <w:abstractNumId w:val="5"/>
  </w:num>
  <w:num w:numId="4" w16cid:durableId="1256013681">
    <w:abstractNumId w:val="4"/>
  </w:num>
  <w:num w:numId="5" w16cid:durableId="1760832535">
    <w:abstractNumId w:val="7"/>
  </w:num>
  <w:num w:numId="6" w16cid:durableId="1202743677">
    <w:abstractNumId w:val="3"/>
  </w:num>
  <w:num w:numId="7" w16cid:durableId="588394083">
    <w:abstractNumId w:val="2"/>
  </w:num>
  <w:num w:numId="8" w16cid:durableId="1112674396">
    <w:abstractNumId w:val="1"/>
  </w:num>
  <w:num w:numId="9" w16cid:durableId="1202673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4815"/>
    <w:rsid w:val="0029639D"/>
    <w:rsid w:val="002F052C"/>
    <w:rsid w:val="00326F90"/>
    <w:rsid w:val="003320AB"/>
    <w:rsid w:val="00452997"/>
    <w:rsid w:val="0053649C"/>
    <w:rsid w:val="00572333"/>
    <w:rsid w:val="008647E3"/>
    <w:rsid w:val="0087632C"/>
    <w:rsid w:val="00AA1D8D"/>
    <w:rsid w:val="00AB4780"/>
    <w:rsid w:val="00B47730"/>
    <w:rsid w:val="00CB0664"/>
    <w:rsid w:val="00F15379"/>
    <w:rsid w:val="00F217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34FDE7"/>
  <w14:defaultImageDpi w14:val="300"/>
  <w15:docId w15:val="{5CCB2404-61D9-4072-84E3-630C47EED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ind w:firstLine="720"/>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contextualSpacing/>
    </w:pPr>
    <w:rPr>
      <w:rFonts w:asciiTheme="majorHAnsi" w:eastAsiaTheme="majorEastAsia" w:hAnsiTheme="majorHAnsi"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720"/>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B4780"/>
    <w:pPr>
      <w:spacing w:before="100" w:beforeAutospacing="1" w:after="100" w:afterAutospacing="1" w:line="240" w:lineRule="auto"/>
      <w:ind w:firstLine="0"/>
    </w:pPr>
    <w:rPr>
      <w:rFonts w:cs="Times New Roman"/>
      <w:szCs w:val="24"/>
    </w:rPr>
  </w:style>
  <w:style w:type="character" w:styleId="Hyperlink">
    <w:name w:val="Hyperlink"/>
    <w:basedOn w:val="DefaultParagraphFont"/>
    <w:uiPriority w:val="99"/>
    <w:unhideWhenUsed/>
    <w:rsid w:val="00AB4780"/>
    <w:rPr>
      <w:color w:val="0000FF" w:themeColor="hyperlink"/>
      <w:u w:val="single"/>
    </w:rPr>
  </w:style>
  <w:style w:type="character" w:styleId="UnresolvedMention">
    <w:name w:val="Unresolved Mention"/>
    <w:basedOn w:val="DefaultParagraphFont"/>
    <w:uiPriority w:val="99"/>
    <w:semiHidden/>
    <w:unhideWhenUsed/>
    <w:rsid w:val="00AB4780"/>
    <w:rPr>
      <w:color w:val="605E5C"/>
      <w:shd w:val="clear" w:color="auto" w:fill="E1DFDD"/>
    </w:rPr>
  </w:style>
  <w:style w:type="character" w:styleId="FollowedHyperlink">
    <w:name w:val="FollowedHyperlink"/>
    <w:basedOn w:val="DefaultParagraphFont"/>
    <w:uiPriority w:val="99"/>
    <w:semiHidden/>
    <w:unhideWhenUsed/>
    <w:rsid w:val="00AB47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36667">
      <w:bodyDiv w:val="1"/>
      <w:marLeft w:val="0"/>
      <w:marRight w:val="0"/>
      <w:marTop w:val="0"/>
      <w:marBottom w:val="0"/>
      <w:divBdr>
        <w:top w:val="none" w:sz="0" w:space="0" w:color="auto"/>
        <w:left w:val="none" w:sz="0" w:space="0" w:color="auto"/>
        <w:bottom w:val="none" w:sz="0" w:space="0" w:color="auto"/>
        <w:right w:val="none" w:sz="0" w:space="0" w:color="auto"/>
      </w:divBdr>
    </w:div>
    <w:div w:id="180364095">
      <w:bodyDiv w:val="1"/>
      <w:marLeft w:val="0"/>
      <w:marRight w:val="0"/>
      <w:marTop w:val="0"/>
      <w:marBottom w:val="0"/>
      <w:divBdr>
        <w:top w:val="none" w:sz="0" w:space="0" w:color="auto"/>
        <w:left w:val="none" w:sz="0" w:space="0" w:color="auto"/>
        <w:bottom w:val="none" w:sz="0" w:space="0" w:color="auto"/>
        <w:right w:val="none" w:sz="0" w:space="0" w:color="auto"/>
      </w:divBdr>
      <w:divsChild>
        <w:div w:id="277565799">
          <w:marLeft w:val="0"/>
          <w:marRight w:val="0"/>
          <w:marTop w:val="0"/>
          <w:marBottom w:val="0"/>
          <w:divBdr>
            <w:top w:val="none" w:sz="0" w:space="0" w:color="auto"/>
            <w:left w:val="none" w:sz="0" w:space="0" w:color="auto"/>
            <w:bottom w:val="none" w:sz="0" w:space="0" w:color="auto"/>
            <w:right w:val="none" w:sz="0" w:space="0" w:color="auto"/>
          </w:divBdr>
          <w:divsChild>
            <w:div w:id="1734617104">
              <w:marLeft w:val="0"/>
              <w:marRight w:val="0"/>
              <w:marTop w:val="0"/>
              <w:marBottom w:val="0"/>
              <w:divBdr>
                <w:top w:val="none" w:sz="0" w:space="0" w:color="auto"/>
                <w:left w:val="none" w:sz="0" w:space="0" w:color="auto"/>
                <w:bottom w:val="none" w:sz="0" w:space="0" w:color="auto"/>
                <w:right w:val="none" w:sz="0" w:space="0" w:color="auto"/>
              </w:divBdr>
              <w:divsChild>
                <w:div w:id="637221154">
                  <w:marLeft w:val="0"/>
                  <w:marRight w:val="0"/>
                  <w:marTop w:val="0"/>
                  <w:marBottom w:val="0"/>
                  <w:divBdr>
                    <w:top w:val="none" w:sz="0" w:space="0" w:color="auto"/>
                    <w:left w:val="none" w:sz="0" w:space="0" w:color="auto"/>
                    <w:bottom w:val="none" w:sz="0" w:space="0" w:color="auto"/>
                    <w:right w:val="none" w:sz="0" w:space="0" w:color="auto"/>
                  </w:divBdr>
                  <w:divsChild>
                    <w:div w:id="2059625767">
                      <w:marLeft w:val="0"/>
                      <w:marRight w:val="0"/>
                      <w:marTop w:val="0"/>
                      <w:marBottom w:val="0"/>
                      <w:divBdr>
                        <w:top w:val="none" w:sz="0" w:space="0" w:color="auto"/>
                        <w:left w:val="none" w:sz="0" w:space="0" w:color="auto"/>
                        <w:bottom w:val="none" w:sz="0" w:space="0" w:color="auto"/>
                        <w:right w:val="none" w:sz="0" w:space="0" w:color="auto"/>
                      </w:divBdr>
                      <w:divsChild>
                        <w:div w:id="1213420076">
                          <w:marLeft w:val="0"/>
                          <w:marRight w:val="0"/>
                          <w:marTop w:val="0"/>
                          <w:marBottom w:val="0"/>
                          <w:divBdr>
                            <w:top w:val="none" w:sz="0" w:space="0" w:color="auto"/>
                            <w:left w:val="none" w:sz="0" w:space="0" w:color="auto"/>
                            <w:bottom w:val="none" w:sz="0" w:space="0" w:color="auto"/>
                            <w:right w:val="none" w:sz="0" w:space="0" w:color="auto"/>
                          </w:divBdr>
                          <w:divsChild>
                            <w:div w:id="1228221068">
                              <w:marLeft w:val="0"/>
                              <w:marRight w:val="0"/>
                              <w:marTop w:val="0"/>
                              <w:marBottom w:val="0"/>
                              <w:divBdr>
                                <w:top w:val="none" w:sz="0" w:space="0" w:color="auto"/>
                                <w:left w:val="none" w:sz="0" w:space="0" w:color="auto"/>
                                <w:bottom w:val="none" w:sz="0" w:space="0" w:color="auto"/>
                                <w:right w:val="none" w:sz="0" w:space="0" w:color="auto"/>
                              </w:divBdr>
                              <w:divsChild>
                                <w:div w:id="120005189">
                                  <w:marLeft w:val="0"/>
                                  <w:marRight w:val="0"/>
                                  <w:marTop w:val="0"/>
                                  <w:marBottom w:val="0"/>
                                  <w:divBdr>
                                    <w:top w:val="none" w:sz="0" w:space="0" w:color="auto"/>
                                    <w:left w:val="none" w:sz="0" w:space="0" w:color="auto"/>
                                    <w:bottom w:val="none" w:sz="0" w:space="0" w:color="auto"/>
                                    <w:right w:val="none" w:sz="0" w:space="0" w:color="auto"/>
                                  </w:divBdr>
                                  <w:divsChild>
                                    <w:div w:id="59756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6644509">
      <w:bodyDiv w:val="1"/>
      <w:marLeft w:val="0"/>
      <w:marRight w:val="0"/>
      <w:marTop w:val="0"/>
      <w:marBottom w:val="0"/>
      <w:divBdr>
        <w:top w:val="none" w:sz="0" w:space="0" w:color="auto"/>
        <w:left w:val="none" w:sz="0" w:space="0" w:color="auto"/>
        <w:bottom w:val="none" w:sz="0" w:space="0" w:color="auto"/>
        <w:right w:val="none" w:sz="0" w:space="0" w:color="auto"/>
      </w:divBdr>
    </w:div>
    <w:div w:id="341050599">
      <w:bodyDiv w:val="1"/>
      <w:marLeft w:val="0"/>
      <w:marRight w:val="0"/>
      <w:marTop w:val="0"/>
      <w:marBottom w:val="0"/>
      <w:divBdr>
        <w:top w:val="none" w:sz="0" w:space="0" w:color="auto"/>
        <w:left w:val="none" w:sz="0" w:space="0" w:color="auto"/>
        <w:bottom w:val="none" w:sz="0" w:space="0" w:color="auto"/>
        <w:right w:val="none" w:sz="0" w:space="0" w:color="auto"/>
      </w:divBdr>
    </w:div>
    <w:div w:id="961570158">
      <w:bodyDiv w:val="1"/>
      <w:marLeft w:val="0"/>
      <w:marRight w:val="0"/>
      <w:marTop w:val="0"/>
      <w:marBottom w:val="0"/>
      <w:divBdr>
        <w:top w:val="none" w:sz="0" w:space="0" w:color="auto"/>
        <w:left w:val="none" w:sz="0" w:space="0" w:color="auto"/>
        <w:bottom w:val="none" w:sz="0" w:space="0" w:color="auto"/>
        <w:right w:val="none" w:sz="0" w:space="0" w:color="auto"/>
      </w:divBdr>
    </w:div>
    <w:div w:id="1004358852">
      <w:bodyDiv w:val="1"/>
      <w:marLeft w:val="0"/>
      <w:marRight w:val="0"/>
      <w:marTop w:val="0"/>
      <w:marBottom w:val="0"/>
      <w:divBdr>
        <w:top w:val="none" w:sz="0" w:space="0" w:color="auto"/>
        <w:left w:val="none" w:sz="0" w:space="0" w:color="auto"/>
        <w:bottom w:val="none" w:sz="0" w:space="0" w:color="auto"/>
        <w:right w:val="none" w:sz="0" w:space="0" w:color="auto"/>
      </w:divBdr>
    </w:div>
    <w:div w:id="1095590899">
      <w:bodyDiv w:val="1"/>
      <w:marLeft w:val="0"/>
      <w:marRight w:val="0"/>
      <w:marTop w:val="0"/>
      <w:marBottom w:val="0"/>
      <w:divBdr>
        <w:top w:val="none" w:sz="0" w:space="0" w:color="auto"/>
        <w:left w:val="none" w:sz="0" w:space="0" w:color="auto"/>
        <w:bottom w:val="none" w:sz="0" w:space="0" w:color="auto"/>
        <w:right w:val="none" w:sz="0" w:space="0" w:color="auto"/>
      </w:divBdr>
    </w:div>
    <w:div w:id="1530797654">
      <w:bodyDiv w:val="1"/>
      <w:marLeft w:val="0"/>
      <w:marRight w:val="0"/>
      <w:marTop w:val="0"/>
      <w:marBottom w:val="0"/>
      <w:divBdr>
        <w:top w:val="none" w:sz="0" w:space="0" w:color="auto"/>
        <w:left w:val="none" w:sz="0" w:space="0" w:color="auto"/>
        <w:bottom w:val="none" w:sz="0" w:space="0" w:color="auto"/>
        <w:right w:val="none" w:sz="0" w:space="0" w:color="auto"/>
      </w:divBdr>
    </w:div>
    <w:div w:id="15823722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6/may/21/london-mayor-sadiq-khan-blocks-met-police-deal-with-palanti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gov/about/reports-publications/investorpubsbegfinstmtguide" TargetMode="External"/><Relationship Id="rId5" Type="http://schemas.openxmlformats.org/officeDocument/2006/relationships/webSettings" Target="webSettings.xml"/><Relationship Id="rId10" Type="http://schemas.openxmlformats.org/officeDocument/2006/relationships/hyperlink" Target="https://www.reuters.com/business/palantir-tops-first-quarter-revenue-estimates-strong-us-government-demand-2026-05-04/" TargetMode="External"/><Relationship Id="rId4" Type="http://schemas.openxmlformats.org/officeDocument/2006/relationships/settings" Target="settings.xml"/><Relationship Id="rId9" Type="http://schemas.openxmlformats.org/officeDocument/2006/relationships/hyperlink" Target="https://investors.palantir.com/files/2026%20Q1%20PLTR%2010-Q.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1784</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