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C17BF" w14:textId="77777777" w:rsidR="00A375C5" w:rsidRDefault="00A375C5">
      <w:pPr>
        <w:spacing w:after="160" w:line="480" w:lineRule="auto"/>
        <w:jc w:val="center"/>
      </w:pPr>
    </w:p>
    <w:p w14:paraId="0267CA57" w14:textId="77777777" w:rsidR="00A375C5" w:rsidRDefault="00A375C5">
      <w:pPr>
        <w:spacing w:after="160" w:line="480" w:lineRule="auto"/>
        <w:jc w:val="center"/>
      </w:pPr>
    </w:p>
    <w:p w14:paraId="62CA17D0" w14:textId="77777777" w:rsidR="00A375C5" w:rsidRDefault="00A375C5">
      <w:pPr>
        <w:spacing w:after="160" w:line="480" w:lineRule="auto"/>
        <w:jc w:val="center"/>
      </w:pPr>
    </w:p>
    <w:p w14:paraId="7E0066D8" w14:textId="77777777" w:rsidR="00A375C5" w:rsidRDefault="00A375C5">
      <w:pPr>
        <w:spacing w:after="160" w:line="480" w:lineRule="auto"/>
        <w:jc w:val="center"/>
      </w:pPr>
    </w:p>
    <w:p w14:paraId="70766CF8" w14:textId="77777777" w:rsidR="00A375C5" w:rsidRDefault="00000000">
      <w:pPr>
        <w:spacing w:after="160" w:line="480" w:lineRule="auto"/>
        <w:jc w:val="center"/>
      </w:pPr>
      <w:r>
        <w:rPr>
          <w:b/>
          <w:bCs/>
        </w:rPr>
        <w:t>BUS500 Case 2: Analyzing Industry Performance</w:t>
      </w:r>
    </w:p>
    <w:p w14:paraId="0A3F53B8" w14:textId="77777777" w:rsidR="00A375C5" w:rsidRDefault="00A375C5">
      <w:pPr>
        <w:spacing w:after="160" w:line="480" w:lineRule="auto"/>
        <w:jc w:val="center"/>
      </w:pPr>
    </w:p>
    <w:p w14:paraId="3A7B636E" w14:textId="77777777" w:rsidR="00A375C5" w:rsidRDefault="00A375C5">
      <w:pPr>
        <w:spacing w:after="160" w:line="480" w:lineRule="auto"/>
        <w:jc w:val="center"/>
      </w:pPr>
    </w:p>
    <w:p w14:paraId="2AA24589" w14:textId="77777777" w:rsidR="00A375C5" w:rsidRDefault="00000000">
      <w:pPr>
        <w:spacing w:after="160" w:line="480" w:lineRule="auto"/>
        <w:jc w:val="center"/>
      </w:pPr>
      <w:r>
        <w:t>Student Name</w:t>
      </w:r>
    </w:p>
    <w:p w14:paraId="2E5252B1" w14:textId="77777777" w:rsidR="00A375C5" w:rsidRDefault="00A375C5">
      <w:pPr>
        <w:spacing w:after="160" w:line="480" w:lineRule="auto"/>
        <w:jc w:val="center"/>
      </w:pPr>
    </w:p>
    <w:p w14:paraId="273B1370" w14:textId="77777777" w:rsidR="00A375C5" w:rsidRDefault="00000000">
      <w:pPr>
        <w:spacing w:after="160" w:line="480" w:lineRule="auto"/>
        <w:jc w:val="center"/>
      </w:pPr>
      <w:r>
        <w:t>Trident University International</w:t>
      </w:r>
    </w:p>
    <w:p w14:paraId="20657FF0" w14:textId="77777777" w:rsidR="00A375C5" w:rsidRDefault="00A375C5">
      <w:pPr>
        <w:spacing w:after="160" w:line="480" w:lineRule="auto"/>
        <w:jc w:val="center"/>
      </w:pPr>
    </w:p>
    <w:p w14:paraId="70E9E244" w14:textId="77777777" w:rsidR="00A375C5" w:rsidRDefault="00000000">
      <w:pPr>
        <w:spacing w:after="160" w:line="480" w:lineRule="auto"/>
        <w:jc w:val="center"/>
      </w:pPr>
      <w:r>
        <w:t>BUS500: Business and Finance for Managers</w:t>
      </w:r>
    </w:p>
    <w:p w14:paraId="579A40DD" w14:textId="77777777" w:rsidR="00A375C5" w:rsidRDefault="00A375C5">
      <w:pPr>
        <w:spacing w:after="160" w:line="480" w:lineRule="auto"/>
        <w:jc w:val="center"/>
      </w:pPr>
    </w:p>
    <w:p w14:paraId="53B7495B" w14:textId="77777777" w:rsidR="00A375C5" w:rsidRDefault="00000000">
      <w:pPr>
        <w:spacing w:after="160" w:line="480" w:lineRule="auto"/>
        <w:jc w:val="center"/>
      </w:pPr>
      <w:r>
        <w:t>Instructor Name</w:t>
      </w:r>
    </w:p>
    <w:p w14:paraId="3986178D" w14:textId="77777777" w:rsidR="00A375C5" w:rsidRDefault="00A375C5">
      <w:pPr>
        <w:spacing w:after="160" w:line="480" w:lineRule="auto"/>
        <w:jc w:val="center"/>
      </w:pPr>
    </w:p>
    <w:p w14:paraId="684260D9" w14:textId="77777777" w:rsidR="00A375C5" w:rsidRDefault="00000000">
      <w:pPr>
        <w:spacing w:after="160" w:line="480" w:lineRule="auto"/>
        <w:jc w:val="center"/>
      </w:pPr>
      <w:r>
        <w:t>June 6, 2026</w:t>
      </w:r>
    </w:p>
    <w:p w14:paraId="558A62DC" w14:textId="77777777" w:rsidR="00A375C5" w:rsidRDefault="00000000">
      <w:pPr>
        <w:pageBreakBefore/>
      </w:pPr>
      <w:r>
        <w:lastRenderedPageBreak/>
        <w:br/>
      </w:r>
    </w:p>
    <w:p w14:paraId="38FF7FB1" w14:textId="77777777" w:rsidR="00A375C5" w:rsidRDefault="00000000" w:rsidP="00557B17">
      <w:pPr>
        <w:spacing w:line="480" w:lineRule="auto"/>
        <w:jc w:val="center"/>
      </w:pPr>
      <w:r>
        <w:rPr>
          <w:b/>
          <w:bCs/>
        </w:rPr>
        <w:t>BUS500 Case 2: Analyzing Industry Performance</w:t>
      </w:r>
    </w:p>
    <w:p w14:paraId="3CD2871D" w14:textId="77777777" w:rsidR="00A375C5" w:rsidRDefault="00000000" w:rsidP="00557B17">
      <w:pPr>
        <w:spacing w:line="480" w:lineRule="auto"/>
        <w:jc w:val="center"/>
      </w:pPr>
      <w:r>
        <w:rPr>
          <w:b/>
          <w:bCs/>
        </w:rPr>
        <w:t>Background</w:t>
      </w:r>
    </w:p>
    <w:p w14:paraId="088B6584" w14:textId="77777777" w:rsidR="00106975" w:rsidRDefault="00106975" w:rsidP="00557B17">
      <w:pPr>
        <w:spacing w:line="480" w:lineRule="auto"/>
        <w:ind w:firstLine="720"/>
      </w:pPr>
      <w:r w:rsidRPr="00106975">
        <w:t xml:space="preserve">Data analytics and AI (AI) software companies refer to firms creating and providing platforms, tools and services that help organizations gather, process, analyze and take action on massive amounts of structured and unstructured data. The company in question, Palantir Technologies Inc., is a key player in this arena, providing data integration and AI-powered decision support systems for public and private sector users across the globe. </w:t>
      </w:r>
    </w:p>
    <w:p w14:paraId="32168CBE" w14:textId="065BBDC2" w:rsidR="00106975" w:rsidRDefault="00106975" w:rsidP="00557B17">
      <w:pPr>
        <w:spacing w:line="480" w:lineRule="auto"/>
        <w:ind w:firstLine="720"/>
      </w:pPr>
      <w:r w:rsidRPr="00106975">
        <w:t xml:space="preserve">The data analytics industry has come a long way since its inception in 2003, originally focused on defense and intelligence, but now evolving into a broader field. Cloud computing, the growth of data on enterprise systems, and the evolution of machine learning tools, have all combined to grow the addressable market beyond its original government-focused roots. The industry today encompasses the healthcare, financial services, manufacturing, retail and public-sector verticals. The latest paradigm shift is the integration of generative AI and agentic AI capabilities into analytics platforms, which is changing the way organizations are using and responding to data-driven insights. This background gives the backdrop palpitating in 2026 when Palantir and its rivals were at work. </w:t>
      </w:r>
    </w:p>
    <w:p w14:paraId="72368632" w14:textId="7A232A31" w:rsidR="00A375C5" w:rsidRDefault="00000000" w:rsidP="00557B17">
      <w:pPr>
        <w:spacing w:line="480" w:lineRule="auto"/>
        <w:jc w:val="center"/>
      </w:pPr>
      <w:r>
        <w:rPr>
          <w:b/>
          <w:bCs/>
        </w:rPr>
        <w:t>Industry at a Glance</w:t>
      </w:r>
    </w:p>
    <w:p w14:paraId="75AE88C7" w14:textId="77777777" w:rsidR="00CA05B7" w:rsidRDefault="00CA05B7" w:rsidP="00557B17">
      <w:pPr>
        <w:spacing w:line="480" w:lineRule="auto"/>
        <w:ind w:firstLine="720"/>
      </w:pPr>
      <w:r>
        <w:t xml:space="preserve">One of the fastest growing segments of the global technology industry is data and analytics software. According to Market Research Future, this market is expected to rise to $363.09 billion by 2035 from $143.57 billion in 2025 with a CAGR of 9.72% during the forecast period. The market is much higher if all AI-enabled Analytics spending is taken into account: the </w:t>
      </w:r>
      <w:r>
        <w:lastRenderedPageBreak/>
        <w:t xml:space="preserve">AI software market alone is projected to be valued at $174.1 billion in 2025 and accelerate at 25% CAGR through 2030 (ABI Research, 2025). </w:t>
      </w:r>
    </w:p>
    <w:p w14:paraId="43C23F11" w14:textId="059AF3AC" w:rsidR="00CA05B7" w:rsidRDefault="00CA05B7" w:rsidP="00557B17">
      <w:pPr>
        <w:spacing w:line="480" w:lineRule="auto"/>
        <w:ind w:firstLine="720"/>
      </w:pPr>
      <w:r>
        <w:t xml:space="preserve">However, North America will remain the biggest region with projected share of about 38% of global revenues in 2025, due to the presence of major technology companies and the high adoption of enterprises as well as government support and investments in data modernization initiatives in the region (Fundamental Business Insights, 2025). The U.S. is expected to be the largest market for data analytics in North America with data analytics market size projected to reach $20.40 billion by 2025 and is likely to reach $252.55 billion by 2035 (Precedence Research, 2025). </w:t>
      </w:r>
    </w:p>
    <w:p w14:paraId="5A87B473" w14:textId="77777777" w:rsidR="00CA05B7" w:rsidRDefault="00CA05B7" w:rsidP="00557B17">
      <w:pPr>
        <w:spacing w:line="480" w:lineRule="auto"/>
        <w:ind w:firstLine="720"/>
      </w:pPr>
      <w:r>
        <w:t>Cloud deployment is the most popular delivery option, accounting for about 58.2% of market share in 2025, and this can be attributed to the scalability, cost-effective nature, and accessibility that cloud-native platforms offer (Fundamental Business Insights, 2025). Despite having the smallest share to revenue (20.6%) in 2025, the largest enterprises are the biggest potential growth driver as they are expected to account for 69.1% of revenue during 2025–2031 (Mordor Intelligence, 2026). Information technology and telecommunications, banking and financial services, healthcare and defense are just some of the industries that are widely using analytics to aid their operations and mitigate risk.</w:t>
      </w:r>
    </w:p>
    <w:p w14:paraId="17BA5ACE" w14:textId="550C78EB" w:rsidR="00A375C5" w:rsidRDefault="00000000" w:rsidP="00557B17">
      <w:pPr>
        <w:spacing w:line="480" w:lineRule="auto"/>
        <w:jc w:val="center"/>
      </w:pPr>
      <w:r>
        <w:rPr>
          <w:b/>
          <w:bCs/>
        </w:rPr>
        <w:t>Industry Performance</w:t>
      </w:r>
    </w:p>
    <w:p w14:paraId="750BC385" w14:textId="77777777" w:rsidR="00106975" w:rsidRDefault="00106975" w:rsidP="00557B17">
      <w:pPr>
        <w:spacing w:line="480" w:lineRule="auto"/>
        <w:ind w:firstLine="720"/>
      </w:pPr>
      <w:r w:rsidRPr="00106975">
        <w:t xml:space="preserve">The data analytics and AI software market has proven to be a strong performer in recent years, with increasing enterprise uptake of AI-driven decision-support software. The data science and AI platforms subsegment recorded an unprecedented 38.6% increase in 2024, according to the data from </w:t>
      </w:r>
      <w:proofErr w:type="spellStart"/>
      <w:r w:rsidRPr="00106975">
        <w:t>FindAnomaly</w:t>
      </w:r>
      <w:proofErr w:type="spellEnd"/>
      <w:r w:rsidRPr="00106975">
        <w:t xml:space="preserve"> (2026), citing Gartner.</w:t>
      </w:r>
      <w:r>
        <w:t xml:space="preserve"> </w:t>
      </w:r>
      <w:r w:rsidRPr="00106975">
        <w:t xml:space="preserve">The data science and AI platforms subsegment experienced an explosive 38.6% growth in 2024, according to Gartner data cited by </w:t>
      </w:r>
      <w:proofErr w:type="spellStart"/>
      <w:r w:rsidRPr="00106975">
        <w:lastRenderedPageBreak/>
        <w:t>FindAnomaly</w:t>
      </w:r>
      <w:proofErr w:type="spellEnd"/>
      <w:r w:rsidRPr="00106975">
        <w:t xml:space="preserve"> (2026). The worldwide analytic platforms market in 2025 was valued at USD 48.6 billion and is expected to grow at a compound annual growth rate (CAGR) of 15.5% for the next five years, highlighting the continued momentum in the overall analytics market. </w:t>
      </w:r>
    </w:p>
    <w:p w14:paraId="49EF2467" w14:textId="77777777" w:rsidR="00106975" w:rsidRDefault="00106975" w:rsidP="00557B17">
      <w:pPr>
        <w:spacing w:line="480" w:lineRule="auto"/>
        <w:ind w:firstLine="720"/>
      </w:pPr>
      <w:r w:rsidRPr="00106975">
        <w:t xml:space="preserve">A number of businesses in this arena, such as Palantir Technologies, have profited from this growth. In 2026, Palantir's net revenues were $1.63 billion during the first quarter, with net revenues reaching $883.9 million during the same period of 2025, resulting in an increase of 84.7% year-over-year (Palantir Technologies Inc., 2026). This expansion was well above the industry average, indicating that Palantir has a significant lead in the government markets of AI and the fast-growing commercial enterprise fields. For the quarter, gross profit margins were around 86.8%, reflecting the high margin software business model that is found in the top players in the field. </w:t>
      </w:r>
    </w:p>
    <w:p w14:paraId="37061547" w14:textId="4A1605F3" w:rsidR="00106975" w:rsidRDefault="00106975" w:rsidP="00557B17">
      <w:pPr>
        <w:spacing w:line="480" w:lineRule="auto"/>
        <w:ind w:firstLine="720"/>
      </w:pPr>
      <w:r w:rsidRPr="00106975">
        <w:t xml:space="preserve">There have been some structural tailwinds that have helped the industry's overall financial performance. Global digital transformation spending will surpass $2 trillion on the enterprise level, growing and increasingly including analytics software (Market Research Future, 2026). The use of AI-powered analytics among enterprises rose from 78% in 2024 to 88% in late 2025, showing a clear trend towards mainstreaming capabilities that were once exclusive to more technologically advanced enterprises (Market.us, 2025). Profitability may differ by player as established players on platforms enjoyed better margins than smaller players operating services while expanding their infrastructure, while the top-line performance is encouraging. </w:t>
      </w:r>
    </w:p>
    <w:p w14:paraId="2C87E57A" w14:textId="0252A163" w:rsidR="00A375C5" w:rsidRDefault="00000000" w:rsidP="00557B17">
      <w:pPr>
        <w:spacing w:line="480" w:lineRule="auto"/>
        <w:jc w:val="center"/>
      </w:pPr>
      <w:r>
        <w:rPr>
          <w:b/>
          <w:bCs/>
        </w:rPr>
        <w:t>Industry Outlook</w:t>
      </w:r>
    </w:p>
    <w:p w14:paraId="2413EE02" w14:textId="77777777" w:rsidR="00953040" w:rsidRDefault="00106975" w:rsidP="00557B17">
      <w:pPr>
        <w:spacing w:line="480" w:lineRule="auto"/>
        <w:ind w:firstLine="720"/>
      </w:pPr>
      <w:r w:rsidRPr="00106975">
        <w:t xml:space="preserve">The future of the data analytics and AI software sector is bright, and several predictions foresee double figures for growth through the end of this decade. According to Precedence Research, the data analytics market will grow from $83.79 billion in 2026 to $785.62 billion by </w:t>
      </w:r>
      <w:r w:rsidRPr="00106975">
        <w:lastRenderedPageBreak/>
        <w:t xml:space="preserve">2035 at a CAGR of 28.35%. The AI software sector will see an annual increase of 25% and reach $467 billion by 2030, particularly as generative AI is scaled and agentic AI </w:t>
      </w:r>
      <w:r>
        <w:t>-</w:t>
      </w:r>
      <w:r w:rsidRPr="00106975">
        <w:t xml:space="preserve"> where autonomous systems think and act for themselves to generate analytical workflows </w:t>
      </w:r>
      <w:r>
        <w:t>-</w:t>
      </w:r>
      <w:r w:rsidRPr="00106975">
        <w:t xml:space="preserve"> enters the market (ABI Research, 2025). </w:t>
      </w:r>
    </w:p>
    <w:p w14:paraId="2377548C" w14:textId="77777777" w:rsidR="00CA05B7" w:rsidRDefault="00953040" w:rsidP="00557B17">
      <w:pPr>
        <w:spacing w:line="480" w:lineRule="auto"/>
        <w:ind w:firstLine="720"/>
      </w:pPr>
      <w:r w:rsidRPr="00953040">
        <w:t xml:space="preserve">One of the most significant trends impacting the short-term is the transition from AI as a tool to AI as an independent analyst. Polestar Analytics (2026) projects that by the end of 2026, 40% of all enterprise applications will be equipped with task-specific AI agents, down from less than 5% in 2025. This rapid growth generates significant incremental demand for the platforms that control, manage and deploy these agents. But integrated, ontology-based architectures are a key differentiator for Palantir, and are well-positioned to meet this demand. </w:t>
      </w:r>
    </w:p>
    <w:p w14:paraId="39768111" w14:textId="12E983F0" w:rsidR="00CA05B7" w:rsidRDefault="00CA05B7" w:rsidP="00557B17">
      <w:pPr>
        <w:spacing w:line="480" w:lineRule="auto"/>
        <w:ind w:firstLine="720"/>
      </w:pPr>
      <w:r w:rsidRPr="00CA05B7">
        <w:t>The challenges and opportunities for the industry are in the dynamics of the regulations. In the European Union, the Artificial Intelligence Act will be fully applicable in August 2026 and all companies will be required to adhere to rigorous standards on the use of analytics and artificial intelligence systems, such as transparency, explainability and data governance (InsightSoftware, 2026). Similarly, more than 140 nations will have privacy laws by 2026, and they will become more complicated, causing challenges for analytics vendors and customers (Alation, 2025) to meet GDPR, CCPA, and other upcoming regulations. Compliant architectures will be part of the core architecture, and will be expected to see a pricing premium and an increase in customer retention for companies able to adopt them, particularly in the regulated sector like healthcare, financial services and government.</w:t>
      </w:r>
    </w:p>
    <w:p w14:paraId="58669642" w14:textId="25048531" w:rsidR="00953040" w:rsidRDefault="00000000" w:rsidP="00557B17">
      <w:pPr>
        <w:spacing w:line="480" w:lineRule="auto"/>
        <w:jc w:val="center"/>
      </w:pPr>
      <w:r>
        <w:rPr>
          <w:b/>
          <w:bCs/>
        </w:rPr>
        <w:t>Competitive Landscape</w:t>
      </w:r>
    </w:p>
    <w:p w14:paraId="34C0E06E" w14:textId="77777777" w:rsidR="00953040" w:rsidRDefault="00953040" w:rsidP="00557B17">
      <w:pPr>
        <w:spacing w:line="480" w:lineRule="auto"/>
        <w:ind w:firstLine="720"/>
      </w:pPr>
      <w:r w:rsidRPr="00953040">
        <w:t xml:space="preserve">Data analytics </w:t>
      </w:r>
      <w:r>
        <w:t>and</w:t>
      </w:r>
      <w:r w:rsidRPr="00953040">
        <w:t xml:space="preserve"> AI software is a hyper-competitive space with a diverse mix of different players, from large </w:t>
      </w:r>
      <w:proofErr w:type="spellStart"/>
      <w:r w:rsidRPr="00953040">
        <w:t>hyperscalers</w:t>
      </w:r>
      <w:proofErr w:type="spellEnd"/>
      <w:r w:rsidRPr="00953040">
        <w:t xml:space="preserve"> in the cloud to niche players. In the big data analytics </w:t>
      </w:r>
      <w:r w:rsidRPr="00953040">
        <w:lastRenderedPageBreak/>
        <w:t xml:space="preserve">category alone Palantir has over 46 identifiable competitors (6sense, 2026). Top three competitors by market share are Databricks (17.8 per cent share), Azure Databricks (17.1 per cent share) and Microsoft Azure Synapse (9.6 per cent share) (6sense, 2026). </w:t>
      </w:r>
      <w:proofErr w:type="spellStart"/>
      <w:r w:rsidRPr="00953040">
        <w:t>Hyperscalers</w:t>
      </w:r>
      <w:proofErr w:type="spellEnd"/>
      <w:r w:rsidRPr="00953040">
        <w:t xml:space="preserve"> like Microsoft, AWS, Google Cloud, IBM, Oracle, and SAP offer cloud-native, integrated services that compete across virtually all analytics workloads, and, thanks to shared infrastructure, and ecosystem lock-in, these services are cheaper.</w:t>
      </w:r>
    </w:p>
    <w:p w14:paraId="06B22234" w14:textId="77777777" w:rsidR="00953040" w:rsidRDefault="00953040" w:rsidP="00557B17">
      <w:pPr>
        <w:spacing w:line="480" w:lineRule="auto"/>
        <w:ind w:firstLine="720"/>
      </w:pPr>
      <w:r w:rsidRPr="00953040">
        <w:t xml:space="preserve">In the specialized segment, Databricks has established itself with a seamless </w:t>
      </w:r>
      <w:proofErr w:type="spellStart"/>
      <w:r w:rsidRPr="00953040">
        <w:t>lakehouse</w:t>
      </w:r>
      <w:proofErr w:type="spellEnd"/>
      <w:r w:rsidRPr="00953040">
        <w:t xml:space="preserve"> architecture and its relentless acquisition strategy in the healthcare, fintech, and government space, delivering more than 40% revenue growth in 2025 and 2026 (Financial Content, 2025). Snowflake's Data Cloud, with a run rate of around $4.2 billion in revenues in 2025, is directly competing for decision making budgets in enterprise analytics with Palantir, particularly in its data sharing, governance and cloud-native scalability. Palantir's ontology-driven approach is its differentiator that allows for high fidelity data integration in the most complex, mission-critical environments including defense, intelligence and large-scale government operations where commercial cloud platforms have proven inadequate to Palantir's depth of capability. </w:t>
      </w:r>
    </w:p>
    <w:p w14:paraId="3014DDE2" w14:textId="788E5079" w:rsidR="00953040" w:rsidRDefault="00953040" w:rsidP="00557B17">
      <w:pPr>
        <w:spacing w:line="480" w:lineRule="auto"/>
        <w:ind w:firstLine="720"/>
      </w:pPr>
      <w:r w:rsidRPr="00953040">
        <w:t xml:space="preserve">The market concentration within the industry is moderate with no single vendor controlling the market. As generative AI becomes more widespread and accessible over time, as open-source tools and cheaper options become commonplace, the competitive pressure could be heightened for those who don't have clear technological moats or strong customer relationships. </w:t>
      </w:r>
    </w:p>
    <w:p w14:paraId="238BF681" w14:textId="6086D7E2" w:rsidR="00A375C5" w:rsidRDefault="00000000" w:rsidP="00557B17">
      <w:pPr>
        <w:spacing w:line="480" w:lineRule="auto"/>
        <w:jc w:val="center"/>
      </w:pPr>
      <w:r>
        <w:rPr>
          <w:b/>
          <w:bCs/>
        </w:rPr>
        <w:t>Operating Conditions</w:t>
      </w:r>
    </w:p>
    <w:p w14:paraId="7F83F1F4" w14:textId="77777777" w:rsidR="00953040" w:rsidRDefault="00953040" w:rsidP="00557B17">
      <w:pPr>
        <w:spacing w:line="480" w:lineRule="auto"/>
        <w:ind w:firstLine="720"/>
      </w:pPr>
      <w:r w:rsidRPr="00953040">
        <w:t xml:space="preserve">Multiple factors are influencing the data analytics and AI software industry. The most important factor influencing input costs is the cycles of technology investment: companies need to invest in research and development to maintain platform relevance as machine learning, large </w:t>
      </w:r>
      <w:r w:rsidRPr="00953040">
        <w:lastRenderedPageBreak/>
        <w:t xml:space="preserve">language models and agentic AI systems advance at an unprecedented speed. Another key cost driver is the talent market, with the United States projecting a scarcity of almost 250,000 data scientists by 2025, causing compensation for specialized talent to rise (Market.us, 2025). </w:t>
      </w:r>
    </w:p>
    <w:p w14:paraId="127F5E59" w14:textId="77777777" w:rsidR="00953040" w:rsidRDefault="00953040" w:rsidP="00557B17">
      <w:pPr>
        <w:spacing w:line="480" w:lineRule="auto"/>
        <w:ind w:firstLine="720"/>
      </w:pPr>
      <w:r w:rsidRPr="00953040">
        <w:t xml:space="preserve">Reduced data quality is among the most enduring challenges faced by industry. According to </w:t>
      </w:r>
      <w:proofErr w:type="spellStart"/>
      <w:r w:rsidRPr="00953040">
        <w:t>DoIT</w:t>
      </w:r>
      <w:proofErr w:type="spellEnd"/>
      <w:r w:rsidRPr="00953040">
        <w:t xml:space="preserve"> Software (2025), the cost of poor data quality is estimated to be $12.9 million per year on average for organizations, and by 2026, it is projected that 60% of AI projects will be scrapped by this reason alone. This will mean the need for continued data preparation, governance and quality management capabilities, built into the top analytics platforms. Companies that can provide an end-to-end data pipeline that guarantees data quality and compliance have more entrenched customers and longer contract cycles. </w:t>
      </w:r>
    </w:p>
    <w:p w14:paraId="5CEA1905" w14:textId="631AB42F" w:rsidR="00953040" w:rsidRDefault="00953040" w:rsidP="00557B17">
      <w:pPr>
        <w:spacing w:line="480" w:lineRule="auto"/>
        <w:ind w:firstLine="720"/>
      </w:pPr>
      <w:r w:rsidRPr="00953040">
        <w:t xml:space="preserve">The cost of regulatory compliance has also emerged as a key operating cost driver. As privacy laws in more than 140 countries come into effect and the EU AI Act takes effect in 2026, vendors must be constantly making updates to their platforms to meet the changing requirements from jurisdiction to jurisdiction (Alation 2025; InsightSoftware 2026). There's an extra layer of complexity with certain companies that deal with classified data environments, security clearances, and procurement compliance that does not apply to software firms working just in the commercial space. </w:t>
      </w:r>
    </w:p>
    <w:p w14:paraId="095C23FD" w14:textId="7F398682" w:rsidR="00A375C5" w:rsidRDefault="00000000" w:rsidP="00557B17">
      <w:pPr>
        <w:spacing w:line="480" w:lineRule="auto"/>
        <w:jc w:val="center"/>
      </w:pPr>
      <w:r>
        <w:rPr>
          <w:b/>
          <w:bCs/>
        </w:rPr>
        <w:t>Key Statistics: Industry Financial Ratios</w:t>
      </w:r>
    </w:p>
    <w:p w14:paraId="342A0B61" w14:textId="77777777" w:rsidR="00953040" w:rsidRDefault="00953040" w:rsidP="00557B17">
      <w:pPr>
        <w:spacing w:line="480" w:lineRule="auto"/>
        <w:ind w:firstLine="720"/>
      </w:pPr>
      <w:r w:rsidRPr="00953040">
        <w:t xml:space="preserve">Financial ratio analysis offers a framework for evaluating the financial health and performance of data analytics and AI software companies. The industry has a unique financial profile, characterized by high gross margins, heavy spending on sales and R&amp;D and growing reliance on reoccurring subscription revenue sources. </w:t>
      </w:r>
    </w:p>
    <w:p w14:paraId="223A07C1" w14:textId="77777777" w:rsidR="00953040" w:rsidRDefault="00953040" w:rsidP="00557B17">
      <w:pPr>
        <w:spacing w:line="480" w:lineRule="auto"/>
        <w:ind w:firstLine="720"/>
      </w:pPr>
      <w:r w:rsidRPr="00953040">
        <w:lastRenderedPageBreak/>
        <w:t>Leading software analytics firms generally have gross profit margins ranging from 70% to 90%, which is indicative of low, if any, marginal costs of software distribution and platform business models with embedded leverage. This range is comparable to other public software companies, with Palantir boasting a gross profit margin of around 86.8% in Q1 2026. Operating margins can differ significantly by company, with those in various stages of scale investing in sales infrastructure or in development of their platforms. The Rule of 40</w:t>
      </w:r>
      <w:r>
        <w:t xml:space="preserve">, </w:t>
      </w:r>
      <w:r w:rsidRPr="00953040">
        <w:t>the principle that new software companies need to have a combined profit margin and growth rate of at least 40%</w:t>
      </w:r>
      <w:r>
        <w:t xml:space="preserve"> - </w:t>
      </w:r>
      <w:r w:rsidRPr="00953040">
        <w:t xml:space="preserve">has been adopted by investors as the benchmark to measure sustainable performance (NetSuite, 2026). But Palantir's 84.7% growth in revenue and its impressive gross margins make it well clear that it's above this threshold. </w:t>
      </w:r>
    </w:p>
    <w:p w14:paraId="2E5E1BED" w14:textId="1A064CF5" w:rsidR="00953040" w:rsidRDefault="00953040" w:rsidP="00557B17">
      <w:pPr>
        <w:spacing w:line="480" w:lineRule="auto"/>
        <w:ind w:firstLine="720"/>
      </w:pPr>
      <w:r w:rsidRPr="00953040">
        <w:t xml:space="preserve">Return on assets (ROA) and return on equity (ROE) for analytics software firms are generally moderate in growth-stage firms as a result of continued investment in platform growth, but pick up significantly as firms scale and operating leverage comes in. In comparison, enterprise business analytics software accounted for $159.9 billion in 2024 revenue globally, and will grow at 10.9% CAGR to reach $364.9 billion in 2034 </w:t>
      </w:r>
      <w:r>
        <w:t>-</w:t>
      </w:r>
      <w:r w:rsidRPr="00953040">
        <w:t xml:space="preserve"> the total addressable market is expanding at a rate that exceeds most individual firms' revenues (Market.us, 2025). The current ratios of software firms are normally healthy, with many having current ratios above 2.0, since software companies have little inventory and can easily cash in on their subscription revenues. The current ratio, which is calculated using Palantir's current assets, which hit a total of $9.55 billion, and current liabilities, at $1.38 billion, is around 6.9, which is significantly higher than the sector average or the standard.</w:t>
      </w:r>
      <w:r>
        <w:t xml:space="preserve"> </w:t>
      </w:r>
      <w:r w:rsidRPr="00953040">
        <w:t xml:space="preserve">Based on the financials of the Q1 2026, Palantir's current ratio is about 6.9, which is much higher than the sector average and the standard, indicating an unusually liquid position compared to peers. </w:t>
      </w:r>
    </w:p>
    <w:p w14:paraId="40679A2A" w14:textId="35FA6BEC" w:rsidR="00953040" w:rsidRDefault="00953040" w:rsidP="00557B17">
      <w:pPr>
        <w:spacing w:line="480" w:lineRule="auto"/>
        <w:ind w:firstLine="720"/>
      </w:pPr>
      <w:r w:rsidRPr="00953040">
        <w:lastRenderedPageBreak/>
        <w:t>A key metric for subscription-focused analytics companies is deferred revenue, which is a balance sheet liability representing advance payments from customers, and which has grown to become a key metric of the subscription-based firms. Other operating ratios that have come into focus are revenue per employee and customer acquisition cost (CAC) recovery periods, which can be viewed as measures of how efficient growth investments are. Consensus estimates suggest that gross margins for the wider data and analytics software industry are in excess of 70%, while operating margins are predicted to be in the 20-30% range for platform providers with more established businesses and are expected to continue in double digits through 2030 as the market continues to evolve structurally.</w:t>
      </w:r>
    </w:p>
    <w:p w14:paraId="21C1F7D5" w14:textId="77777777" w:rsidR="00557B17" w:rsidRDefault="00557B17" w:rsidP="00557B17">
      <w:pPr>
        <w:spacing w:line="480" w:lineRule="auto"/>
        <w:jc w:val="center"/>
      </w:pPr>
    </w:p>
    <w:p w14:paraId="18CA693B" w14:textId="77777777" w:rsidR="00557B17" w:rsidRDefault="00557B17" w:rsidP="00557B17">
      <w:pPr>
        <w:spacing w:line="480" w:lineRule="auto"/>
        <w:jc w:val="center"/>
      </w:pPr>
    </w:p>
    <w:p w14:paraId="64F86C65" w14:textId="77777777" w:rsidR="00557B17" w:rsidRDefault="00557B17" w:rsidP="00557B17">
      <w:pPr>
        <w:spacing w:line="480" w:lineRule="auto"/>
        <w:jc w:val="center"/>
      </w:pPr>
    </w:p>
    <w:p w14:paraId="642549E5" w14:textId="77777777" w:rsidR="00557B17" w:rsidRDefault="00557B17" w:rsidP="00557B17">
      <w:pPr>
        <w:spacing w:line="480" w:lineRule="auto"/>
        <w:jc w:val="center"/>
      </w:pPr>
    </w:p>
    <w:p w14:paraId="1F9D7C74" w14:textId="77777777" w:rsidR="00557B17" w:rsidRDefault="00557B17" w:rsidP="00557B17">
      <w:pPr>
        <w:spacing w:line="480" w:lineRule="auto"/>
        <w:jc w:val="center"/>
      </w:pPr>
    </w:p>
    <w:p w14:paraId="097EE3C3" w14:textId="77777777" w:rsidR="00557B17" w:rsidRDefault="00557B17" w:rsidP="00557B17">
      <w:pPr>
        <w:spacing w:line="480" w:lineRule="auto"/>
        <w:jc w:val="center"/>
      </w:pPr>
    </w:p>
    <w:p w14:paraId="3067F98C" w14:textId="77777777" w:rsidR="00557B17" w:rsidRDefault="00557B17" w:rsidP="00557B17">
      <w:pPr>
        <w:spacing w:line="480" w:lineRule="auto"/>
        <w:jc w:val="center"/>
      </w:pPr>
    </w:p>
    <w:p w14:paraId="084CDF19" w14:textId="77777777" w:rsidR="00557B17" w:rsidRDefault="00557B17" w:rsidP="00557B17">
      <w:pPr>
        <w:spacing w:line="480" w:lineRule="auto"/>
        <w:jc w:val="center"/>
      </w:pPr>
    </w:p>
    <w:p w14:paraId="080E34BA" w14:textId="77777777" w:rsidR="00557B17" w:rsidRDefault="00557B17" w:rsidP="00557B17">
      <w:pPr>
        <w:spacing w:line="480" w:lineRule="auto"/>
        <w:jc w:val="center"/>
      </w:pPr>
    </w:p>
    <w:p w14:paraId="1AC4120D" w14:textId="77777777" w:rsidR="00557B17" w:rsidRDefault="00557B17" w:rsidP="00557B17">
      <w:pPr>
        <w:spacing w:line="480" w:lineRule="auto"/>
        <w:jc w:val="center"/>
      </w:pPr>
    </w:p>
    <w:p w14:paraId="505AD9C9" w14:textId="77777777" w:rsidR="00557B17" w:rsidRDefault="00557B17" w:rsidP="00557B17">
      <w:pPr>
        <w:spacing w:line="480" w:lineRule="auto"/>
        <w:jc w:val="center"/>
      </w:pPr>
    </w:p>
    <w:p w14:paraId="694BD7CD" w14:textId="77777777" w:rsidR="00557B17" w:rsidRDefault="00557B17" w:rsidP="00557B17">
      <w:pPr>
        <w:spacing w:line="480" w:lineRule="auto"/>
        <w:jc w:val="center"/>
      </w:pPr>
    </w:p>
    <w:p w14:paraId="085ABFA6" w14:textId="77777777" w:rsidR="00557B17" w:rsidRDefault="00557B17" w:rsidP="00557B17">
      <w:pPr>
        <w:spacing w:line="480" w:lineRule="auto"/>
        <w:jc w:val="center"/>
      </w:pPr>
    </w:p>
    <w:p w14:paraId="191A3D06" w14:textId="77777777" w:rsidR="00557B17" w:rsidRDefault="00557B17" w:rsidP="00557B17">
      <w:pPr>
        <w:spacing w:line="480" w:lineRule="auto"/>
        <w:jc w:val="center"/>
      </w:pPr>
    </w:p>
    <w:p w14:paraId="52A08219" w14:textId="1C76EACB" w:rsidR="00A375C5" w:rsidRDefault="00000000" w:rsidP="00557B17">
      <w:pPr>
        <w:spacing w:line="480" w:lineRule="auto"/>
        <w:jc w:val="center"/>
      </w:pPr>
      <w:r>
        <w:rPr>
          <w:b/>
          <w:bCs/>
        </w:rPr>
        <w:lastRenderedPageBreak/>
        <w:t>References</w:t>
      </w:r>
    </w:p>
    <w:p w14:paraId="72ABEDE4" w14:textId="77777777" w:rsidR="00A375C5" w:rsidRDefault="00000000" w:rsidP="00557B17">
      <w:pPr>
        <w:spacing w:line="480" w:lineRule="auto"/>
        <w:ind w:left="720" w:hanging="720"/>
      </w:pPr>
      <w:r>
        <w:t>6sense. (2026). Palantir—market share, competitor insights in big data analytics. https://6sense.com/tech/big-data-analytics/palantir-market-share</w:t>
      </w:r>
    </w:p>
    <w:p w14:paraId="48D24AD9" w14:textId="77777777" w:rsidR="00A375C5" w:rsidRDefault="00000000" w:rsidP="00557B17">
      <w:pPr>
        <w:spacing w:line="480" w:lineRule="auto"/>
        <w:ind w:left="720" w:hanging="720"/>
      </w:pPr>
      <w:r>
        <w:t>ABI Research. (2025). Artificial intelligence (AI) software market size: 2024 to 2030. https://www.abiresearch.com/news-resources/chart-data/report-artificial-intelligence-market-size-global</w:t>
      </w:r>
    </w:p>
    <w:p w14:paraId="468E4CF6" w14:textId="77777777" w:rsidR="00A375C5" w:rsidRDefault="00000000" w:rsidP="00557B17">
      <w:pPr>
        <w:spacing w:line="480" w:lineRule="auto"/>
        <w:ind w:left="720" w:hanging="720"/>
      </w:pPr>
      <w:r>
        <w:t>Alation. (2025, December 17). 2026 data management trends and what they mean for you. https://www.alation.com/blog/data-management-trends/</w:t>
      </w:r>
    </w:p>
    <w:p w14:paraId="5C2B42F2" w14:textId="77777777" w:rsidR="00A375C5" w:rsidRDefault="00000000" w:rsidP="00557B17">
      <w:pPr>
        <w:spacing w:line="480" w:lineRule="auto"/>
        <w:ind w:left="720" w:hanging="720"/>
      </w:pPr>
      <w:proofErr w:type="spellStart"/>
      <w:r>
        <w:t>FindAnomaly</w:t>
      </w:r>
      <w:proofErr w:type="spellEnd"/>
      <w:r>
        <w:t>. (2026, April 14). What AI data analysis trends will dominate 2026? https://www.findanomaly.ai/ai-data-analysis-trends-2026</w:t>
      </w:r>
    </w:p>
    <w:p w14:paraId="02B425FE" w14:textId="77777777" w:rsidR="00A375C5" w:rsidRDefault="00000000" w:rsidP="00557B17">
      <w:pPr>
        <w:spacing w:line="480" w:lineRule="auto"/>
        <w:ind w:left="720" w:hanging="720"/>
      </w:pPr>
      <w:r>
        <w:t>Financial Content. (2025, October 13). The AI frontier: Palantir faces intensifying rivalry as competitors surge in data analytics market. https://markets.financialcontent.com/stocks/article/marketminute-2025-10-13-the-ai-frontier-palantir-faces-intensifying-rivalry-as-competitors-surge-in-data-analytics-market</w:t>
      </w:r>
    </w:p>
    <w:p w14:paraId="54224036" w14:textId="77777777" w:rsidR="00A375C5" w:rsidRDefault="00000000" w:rsidP="00557B17">
      <w:pPr>
        <w:spacing w:line="480" w:lineRule="auto"/>
        <w:ind w:left="720" w:hanging="720"/>
      </w:pPr>
      <w:r>
        <w:t>Fundamental Business Insights. (2025). Data and analytics software market size &amp; share—growth opportunities in America, Europe, &amp; APAC 2026–2035. https://www.fundamentalbusinessinsights.com/industry-report/data-and-analytics-software-market-13947</w:t>
      </w:r>
    </w:p>
    <w:p w14:paraId="410647A3" w14:textId="77777777" w:rsidR="00A375C5" w:rsidRDefault="00000000" w:rsidP="00557B17">
      <w:pPr>
        <w:spacing w:line="480" w:lineRule="auto"/>
        <w:ind w:left="720" w:hanging="720"/>
      </w:pPr>
      <w:r>
        <w:t>InsightSoftware. (2026, February 4). Data and analytics trends for 2026. https://insightsoftware.com/blog/data-and-analytics-trends-for-2026/</w:t>
      </w:r>
    </w:p>
    <w:p w14:paraId="28F717E6" w14:textId="77777777" w:rsidR="00A375C5" w:rsidRDefault="00000000" w:rsidP="00557B17">
      <w:pPr>
        <w:spacing w:line="480" w:lineRule="auto"/>
        <w:ind w:left="720" w:hanging="720"/>
      </w:pPr>
      <w:r>
        <w:t>Market Research Future. (2026, April 6). Data and analytics software market size &amp; future scope to 2035. https://www.marketresearchfuture.com/reports/data-and-analytics-software-market-28631</w:t>
      </w:r>
    </w:p>
    <w:p w14:paraId="2A5CAAAC" w14:textId="77777777" w:rsidR="00A375C5" w:rsidRDefault="00000000" w:rsidP="00557B17">
      <w:pPr>
        <w:spacing w:line="480" w:lineRule="auto"/>
        <w:ind w:left="720" w:hanging="720"/>
      </w:pPr>
      <w:r>
        <w:lastRenderedPageBreak/>
        <w:t>Market.us. (2025, December 17). Enterprise business analytics software market size | CAGR 10%. https://market.us/report/enterprise-business-analytics-software-market/</w:t>
      </w:r>
    </w:p>
    <w:p w14:paraId="400C5357" w14:textId="77777777" w:rsidR="00A375C5" w:rsidRDefault="00000000" w:rsidP="00557B17">
      <w:pPr>
        <w:spacing w:line="480" w:lineRule="auto"/>
        <w:ind w:left="720" w:hanging="720"/>
      </w:pPr>
      <w:proofErr w:type="spellStart"/>
      <w:r>
        <w:t>MatrixBCG</w:t>
      </w:r>
      <w:proofErr w:type="spellEnd"/>
      <w:r>
        <w:t>. (2026, April 21). What is competitive landscape of Palantir Technologies company? https://matrixbcg.com/blogs/competitors/palantir</w:t>
      </w:r>
    </w:p>
    <w:p w14:paraId="33E5F5B1" w14:textId="77777777" w:rsidR="00A375C5" w:rsidRDefault="00000000" w:rsidP="00557B17">
      <w:pPr>
        <w:spacing w:line="480" w:lineRule="auto"/>
        <w:ind w:left="720" w:hanging="720"/>
      </w:pPr>
      <w:r>
        <w:t>Mordor Intelligence. (2026, January 27). Data analytics market size, share analysis &amp; forecast report 2031. https://www.mordorintelligence.com/industry-reports/data-analytics-market</w:t>
      </w:r>
    </w:p>
    <w:p w14:paraId="180F4CE9" w14:textId="77777777" w:rsidR="00A375C5" w:rsidRDefault="00000000" w:rsidP="00557B17">
      <w:pPr>
        <w:spacing w:line="480" w:lineRule="auto"/>
        <w:ind w:left="720" w:hanging="720"/>
      </w:pPr>
      <w:r>
        <w:t>NetSuite. (2026, March 16). 15 critical financial ratios for software companies. https://www.netsuite.com/portal/resource/articles/financial-management/financial-ratios.shtml</w:t>
      </w:r>
    </w:p>
    <w:p w14:paraId="1E0656AC" w14:textId="77777777" w:rsidR="00A375C5" w:rsidRDefault="00000000" w:rsidP="00557B17">
      <w:pPr>
        <w:spacing w:line="480" w:lineRule="auto"/>
        <w:ind w:left="720" w:hanging="720"/>
      </w:pPr>
      <w:r>
        <w:t>Palantir Technologies Inc. (2026). Form 10-Q for the quarterly period ended March 31, 2026. U.S. Securities and Exchange Commission. https://investors.palantir.com/files/2026%20Q1%20PLTR%2010-Q.pdf</w:t>
      </w:r>
    </w:p>
    <w:p w14:paraId="7437B7A8" w14:textId="77777777" w:rsidR="00A375C5" w:rsidRDefault="00000000" w:rsidP="00557B17">
      <w:pPr>
        <w:spacing w:line="480" w:lineRule="auto"/>
        <w:ind w:left="720" w:hanging="720"/>
      </w:pPr>
      <w:r>
        <w:t>Polestar Analytics. (2026). Top 6 data analytics trends 2026. https://www.polestaranalytics.com/blog/top-6-data-analytics-trends-for-2026</w:t>
      </w:r>
    </w:p>
    <w:p w14:paraId="188DAA8F" w14:textId="77777777" w:rsidR="00A375C5" w:rsidRDefault="00000000" w:rsidP="00557B17">
      <w:pPr>
        <w:spacing w:line="480" w:lineRule="auto"/>
        <w:ind w:left="720" w:hanging="720"/>
      </w:pPr>
      <w:r>
        <w:t>Precedence Research. (2025, December 19). Data analytics market size to hit USD 785.62 billion by 2035. https://www.precedenceresearch.com/data-analytics-market</w:t>
      </w:r>
    </w:p>
    <w:sectPr w:rsidR="00A375C5">
      <w:headerReference w:type="default" r:id="rId7"/>
      <w:pgSz w:w="12240" w:h="15840"/>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C99F0" w14:textId="77777777" w:rsidR="00ED4DC0" w:rsidRDefault="00ED4DC0" w:rsidP="00825399">
      <w:r>
        <w:separator/>
      </w:r>
    </w:p>
  </w:endnote>
  <w:endnote w:type="continuationSeparator" w:id="0">
    <w:p w14:paraId="3FFD070F" w14:textId="77777777" w:rsidR="00ED4DC0" w:rsidRDefault="00ED4DC0" w:rsidP="008253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32F3DD" w14:textId="77777777" w:rsidR="00ED4DC0" w:rsidRDefault="00ED4DC0" w:rsidP="00825399">
      <w:r>
        <w:separator/>
      </w:r>
    </w:p>
  </w:footnote>
  <w:footnote w:type="continuationSeparator" w:id="0">
    <w:p w14:paraId="20EF2601" w14:textId="77777777" w:rsidR="00ED4DC0" w:rsidRDefault="00ED4DC0" w:rsidP="008253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6414046"/>
      <w:docPartObj>
        <w:docPartGallery w:val="Page Numbers (Top of Page)"/>
        <w:docPartUnique/>
      </w:docPartObj>
    </w:sdtPr>
    <w:sdtEndPr>
      <w:rPr>
        <w:noProof/>
      </w:rPr>
    </w:sdtEndPr>
    <w:sdtContent>
      <w:p w14:paraId="2510A5D1" w14:textId="6C3C2817" w:rsidR="00825399" w:rsidRDefault="00825399">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0881F5D" w14:textId="77777777" w:rsidR="00825399" w:rsidRDefault="008253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907609"/>
    <w:multiLevelType w:val="hybridMultilevel"/>
    <w:tmpl w:val="15EAF800"/>
    <w:lvl w:ilvl="0" w:tplc="D826B2FA">
      <w:start w:val="1"/>
      <w:numFmt w:val="bullet"/>
      <w:lvlText w:val="●"/>
      <w:lvlJc w:val="left"/>
      <w:pPr>
        <w:ind w:left="720" w:hanging="360"/>
      </w:pPr>
    </w:lvl>
    <w:lvl w:ilvl="1" w:tplc="B9429390">
      <w:start w:val="1"/>
      <w:numFmt w:val="bullet"/>
      <w:lvlText w:val="○"/>
      <w:lvlJc w:val="left"/>
      <w:pPr>
        <w:ind w:left="1440" w:hanging="360"/>
      </w:pPr>
    </w:lvl>
    <w:lvl w:ilvl="2" w:tplc="A21EE57E">
      <w:start w:val="1"/>
      <w:numFmt w:val="bullet"/>
      <w:lvlText w:val="■"/>
      <w:lvlJc w:val="left"/>
      <w:pPr>
        <w:ind w:left="2160" w:hanging="360"/>
      </w:pPr>
    </w:lvl>
    <w:lvl w:ilvl="3" w:tplc="CBF4D5E8">
      <w:start w:val="1"/>
      <w:numFmt w:val="bullet"/>
      <w:lvlText w:val="●"/>
      <w:lvlJc w:val="left"/>
      <w:pPr>
        <w:ind w:left="2880" w:hanging="360"/>
      </w:pPr>
    </w:lvl>
    <w:lvl w:ilvl="4" w:tplc="ACBAD27E">
      <w:start w:val="1"/>
      <w:numFmt w:val="bullet"/>
      <w:lvlText w:val="○"/>
      <w:lvlJc w:val="left"/>
      <w:pPr>
        <w:ind w:left="3600" w:hanging="360"/>
      </w:pPr>
    </w:lvl>
    <w:lvl w:ilvl="5" w:tplc="BF3CDE34">
      <w:start w:val="1"/>
      <w:numFmt w:val="bullet"/>
      <w:lvlText w:val="■"/>
      <w:lvlJc w:val="left"/>
      <w:pPr>
        <w:ind w:left="4320" w:hanging="360"/>
      </w:pPr>
    </w:lvl>
    <w:lvl w:ilvl="6" w:tplc="F2EAA3D8">
      <w:start w:val="1"/>
      <w:numFmt w:val="bullet"/>
      <w:lvlText w:val="●"/>
      <w:lvlJc w:val="left"/>
      <w:pPr>
        <w:ind w:left="5040" w:hanging="360"/>
      </w:pPr>
    </w:lvl>
    <w:lvl w:ilvl="7" w:tplc="266C87E2">
      <w:start w:val="1"/>
      <w:numFmt w:val="bullet"/>
      <w:lvlText w:val="●"/>
      <w:lvlJc w:val="left"/>
      <w:pPr>
        <w:ind w:left="5760" w:hanging="360"/>
      </w:pPr>
    </w:lvl>
    <w:lvl w:ilvl="8" w:tplc="747636E4">
      <w:start w:val="1"/>
      <w:numFmt w:val="bullet"/>
      <w:lvlText w:val="●"/>
      <w:lvlJc w:val="left"/>
      <w:pPr>
        <w:ind w:left="6480" w:hanging="360"/>
      </w:pPr>
    </w:lvl>
  </w:abstractNum>
  <w:num w:numId="1" w16cid:durableId="71068794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75C5"/>
    <w:rsid w:val="00106975"/>
    <w:rsid w:val="003D79DA"/>
    <w:rsid w:val="00557B17"/>
    <w:rsid w:val="00825399"/>
    <w:rsid w:val="0088618A"/>
    <w:rsid w:val="008A793C"/>
    <w:rsid w:val="00953040"/>
    <w:rsid w:val="00A375C5"/>
    <w:rsid w:val="00CA05B7"/>
    <w:rsid w:val="00D2469A"/>
    <w:rsid w:val="00ED4D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8A84F"/>
  <w15:docId w15:val="{71E3D5C6-B49F-4126-9142-35C7426E02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825399"/>
    <w:pPr>
      <w:tabs>
        <w:tab w:val="center" w:pos="4680"/>
        <w:tab w:val="right" w:pos="9360"/>
      </w:tabs>
    </w:pPr>
  </w:style>
  <w:style w:type="character" w:customStyle="1" w:styleId="HeaderChar">
    <w:name w:val="Header Char"/>
    <w:basedOn w:val="DefaultParagraphFont"/>
    <w:link w:val="Header"/>
    <w:uiPriority w:val="99"/>
    <w:rsid w:val="00825399"/>
  </w:style>
  <w:style w:type="paragraph" w:styleId="Footer">
    <w:name w:val="footer"/>
    <w:basedOn w:val="Normal"/>
    <w:link w:val="FooterChar"/>
    <w:uiPriority w:val="99"/>
    <w:unhideWhenUsed/>
    <w:rsid w:val="00825399"/>
    <w:pPr>
      <w:tabs>
        <w:tab w:val="center" w:pos="4680"/>
        <w:tab w:val="right" w:pos="9360"/>
      </w:tabs>
    </w:pPr>
  </w:style>
  <w:style w:type="character" w:customStyle="1" w:styleId="FooterChar">
    <w:name w:val="Footer Char"/>
    <w:basedOn w:val="DefaultParagraphFont"/>
    <w:link w:val="Footer"/>
    <w:uiPriority w:val="99"/>
    <w:rsid w:val="008253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11</Pages>
  <Words>2544</Words>
  <Characters>14504</Characters>
  <Application>Microsoft Office Word</Application>
  <DocSecurity>0</DocSecurity>
  <Lines>120</Lines>
  <Paragraphs>34</Paragraphs>
  <ScaleCrop>false</ScaleCrop>
  <Company/>
  <LinksUpToDate>false</LinksUpToDate>
  <CharactersWithSpaces>17014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