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A00B97F" w:rsidP="037A4F1E" w:rsidRDefault="5A00B97F" w14:paraId="27BCE684" w14:textId="38BE296B">
      <w:pPr>
        <w:jc w:val="center"/>
        <w:rPr>
          <w:rFonts w:ascii="Garamond" w:hAnsi="Garamond" w:eastAsia="Garamond" w:cs="Garamond"/>
          <w:b w:val="1"/>
          <w:bCs w:val="1"/>
          <w:sz w:val="24"/>
          <w:szCs w:val="24"/>
        </w:rPr>
      </w:pPr>
      <w:r w:rsidRPr="037A4F1E" w:rsidR="037A4F1E">
        <w:rPr>
          <w:rFonts w:ascii="Garamond" w:hAnsi="Garamond" w:eastAsia="Garamond" w:cs="Garamond"/>
          <w:b w:val="1"/>
          <w:bCs w:val="1"/>
          <w:sz w:val="24"/>
          <w:szCs w:val="24"/>
        </w:rPr>
        <w:t>EDUC 7005: Porch Conversations Final Paper (due July 15</w:t>
      </w:r>
      <w:r w:rsidRPr="037A4F1E" w:rsidR="037A4F1E">
        <w:rPr>
          <w:rFonts w:ascii="Garamond" w:hAnsi="Garamond" w:eastAsia="Garamond" w:cs="Garamond"/>
          <w:b w:val="1"/>
          <w:bCs w:val="1"/>
          <w:sz w:val="24"/>
          <w:szCs w:val="24"/>
          <w:vertAlign w:val="superscript"/>
        </w:rPr>
        <w:t>th</w:t>
      </w:r>
      <w:r w:rsidRPr="037A4F1E" w:rsidR="037A4F1E">
        <w:rPr>
          <w:rFonts w:ascii="Garamond" w:hAnsi="Garamond" w:eastAsia="Garamond" w:cs="Garamond"/>
          <w:b w:val="1"/>
          <w:bCs w:val="1"/>
          <w:sz w:val="24"/>
          <w:szCs w:val="24"/>
        </w:rPr>
        <w:t>)</w:t>
      </w:r>
    </w:p>
    <w:p w:rsidR="78D902D3" w:rsidP="037A4F1E" w:rsidRDefault="78D902D3" w14:paraId="7523F752" w14:textId="0BC3C74E">
      <w:pPr>
        <w:pStyle w:val="Normal"/>
        <w:spacing w:before="240" w:beforeAutospacing="off" w:after="240" w:afterAutospacing="off"/>
        <w:jc w:val="left"/>
        <w:rPr>
          <w:rFonts w:ascii="Garamond" w:hAnsi="Garamond" w:eastAsia="Garamond" w:cs="Garamond"/>
          <w:b w:val="1"/>
          <w:bCs w:val="1"/>
          <w:noProof w:val="0"/>
          <w:sz w:val="24"/>
          <w:szCs w:val="24"/>
          <w:lang w:val="en-US"/>
        </w:rPr>
      </w:pPr>
      <w:r w:rsidRPr="037A4F1E" w:rsidR="037A4F1E">
        <w:rPr>
          <w:rFonts w:ascii="Garamond" w:hAnsi="Garamond" w:eastAsia="Garamond" w:cs="Garamond"/>
          <w:b w:val="1"/>
          <w:bCs w:val="1"/>
          <w:noProof w:val="0"/>
          <w:sz w:val="24"/>
          <w:szCs w:val="24"/>
          <w:lang w:val="en-US"/>
        </w:rPr>
        <w:t>Overview</w:t>
      </w:r>
    </w:p>
    <w:p w:rsidR="78D902D3" w:rsidP="037A4F1E" w:rsidRDefault="78D902D3" w14:paraId="3B15F943" w14:textId="3AE486BA">
      <w:pPr>
        <w:spacing w:before="240" w:beforeAutospacing="off" w:after="240" w:afterAutospacing="off"/>
        <w:jc w:val="left"/>
        <w:rPr>
          <w:rFonts w:ascii="Garamond" w:hAnsi="Garamond" w:eastAsia="Garamond" w:cs="Garamond"/>
          <w:noProof w:val="0"/>
          <w:sz w:val="24"/>
          <w:szCs w:val="24"/>
          <w:lang w:val="en-US"/>
        </w:rPr>
      </w:pPr>
      <w:r w:rsidRPr="5DE2655D" w:rsidR="5DE2655D">
        <w:rPr>
          <w:rFonts w:ascii="Garamond" w:hAnsi="Garamond" w:eastAsia="Garamond" w:cs="Garamond"/>
          <w:noProof w:val="0"/>
          <w:sz w:val="24"/>
          <w:szCs w:val="24"/>
          <w:lang w:val="en-US"/>
        </w:rPr>
        <w:t xml:space="preserve">This final project invites you to apply everything </w:t>
      </w:r>
      <w:r w:rsidRPr="5DE2655D" w:rsidR="5DE2655D">
        <w:rPr>
          <w:rFonts w:ascii="Garamond" w:hAnsi="Garamond" w:eastAsia="Garamond" w:cs="Garamond"/>
          <w:noProof w:val="0"/>
          <w:sz w:val="24"/>
          <w:szCs w:val="24"/>
          <w:lang w:val="en-US"/>
        </w:rPr>
        <w:t xml:space="preserve">you have </w:t>
      </w:r>
      <w:r w:rsidRPr="5DE2655D" w:rsidR="5DE2655D">
        <w:rPr>
          <w:rFonts w:ascii="Garamond" w:hAnsi="Garamond" w:eastAsia="Garamond" w:cs="Garamond"/>
          <w:noProof w:val="0"/>
          <w:sz w:val="24"/>
          <w:szCs w:val="24"/>
          <w:lang w:val="en-US"/>
        </w:rPr>
        <w:t>learned this semester to reimagine how we tell educational history and what we believe is possible.</w:t>
      </w:r>
    </w:p>
    <w:p w:rsidR="78D902D3" w:rsidP="037A4F1E" w:rsidRDefault="78D902D3" w14:paraId="106913D4" w14:textId="6F958DD0">
      <w:p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 xml:space="preserve">Instead of </w:t>
      </w:r>
      <w:r w:rsidRPr="037A4F1E" w:rsidR="037A4F1E">
        <w:rPr>
          <w:rFonts w:ascii="Garamond" w:hAnsi="Garamond" w:eastAsia="Garamond" w:cs="Garamond"/>
          <w:noProof w:val="0"/>
          <w:sz w:val="24"/>
          <w:szCs w:val="24"/>
          <w:lang w:val="en-US"/>
        </w:rPr>
        <w:t>writing</w:t>
      </w:r>
      <w:r w:rsidRPr="037A4F1E" w:rsidR="037A4F1E">
        <w:rPr>
          <w:rFonts w:ascii="Garamond" w:hAnsi="Garamond" w:eastAsia="Garamond" w:cs="Garamond"/>
          <w:noProof w:val="0"/>
          <w:sz w:val="24"/>
          <w:szCs w:val="24"/>
          <w:lang w:val="en-US"/>
        </w:rPr>
        <w:t xml:space="preserve"> a traditional academic paper, you will craft a </w:t>
      </w:r>
      <w:r w:rsidRPr="037A4F1E" w:rsidR="037A4F1E">
        <w:rPr>
          <w:rFonts w:ascii="Garamond" w:hAnsi="Garamond" w:eastAsia="Garamond" w:cs="Garamond"/>
          <w:b w:val="1"/>
          <w:bCs w:val="1"/>
          <w:noProof w:val="0"/>
          <w:sz w:val="24"/>
          <w:szCs w:val="24"/>
          <w:lang w:val="en-US"/>
        </w:rPr>
        <w:t xml:space="preserve">Porch Conversation (Thomas, 2026), </w:t>
      </w:r>
      <w:r w:rsidRPr="037A4F1E" w:rsidR="037A4F1E">
        <w:rPr>
          <w:rFonts w:ascii="Garamond" w:hAnsi="Garamond" w:eastAsia="Garamond" w:cs="Garamond"/>
          <w:noProof w:val="0"/>
          <w:sz w:val="24"/>
          <w:szCs w:val="24"/>
          <w:lang w:val="en-US"/>
        </w:rPr>
        <w:t>a historically grounded, imaginative dialogue between:</w:t>
      </w:r>
    </w:p>
    <w:p w:rsidR="78D902D3" w:rsidP="280C4FF2" w:rsidRDefault="78D902D3" w14:paraId="5CBC7B30" w14:textId="56B41ED1">
      <w:pPr>
        <w:pStyle w:val="ListParagraph"/>
        <w:numPr>
          <w:ilvl w:val="0"/>
          <w:numId w:val="8"/>
        </w:num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Educational thinkers from U.S. history</w:t>
      </w:r>
    </w:p>
    <w:p w:rsidR="78D902D3" w:rsidP="280C4FF2" w:rsidRDefault="78D902D3" w14:paraId="6E25CB4D" w14:textId="11149FB7">
      <w:pPr>
        <w:pStyle w:val="ListParagraph"/>
        <w:numPr>
          <w:ilvl w:val="0"/>
          <w:numId w:val="8"/>
        </w:num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School community voices from oral histories (your own or from midterms)</w:t>
      </w:r>
    </w:p>
    <w:p w:rsidR="78D902D3" w:rsidP="280C4FF2" w:rsidRDefault="78D902D3" w14:paraId="600CDCAD" w14:textId="0D3C08B4">
      <w:pPr>
        <w:pStyle w:val="ListParagraph"/>
        <w:numPr>
          <w:ilvl w:val="0"/>
          <w:numId w:val="8"/>
        </w:num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A future vision for education shaped by these conversations</w:t>
      </w:r>
    </w:p>
    <w:p w:rsidR="78D902D3" w:rsidP="037A4F1E" w:rsidRDefault="78D902D3" w14:paraId="08014A70" w14:textId="16A17B0D">
      <w:p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 xml:space="preserve">This method draws from storytelling traditions, especially in the U.S. South, where porches have long served as spaces for intergenerational learning, reflection, and resistance. Through creative writing, research, and oral history, </w:t>
      </w:r>
      <w:r w:rsidRPr="037A4F1E" w:rsidR="037A4F1E">
        <w:rPr>
          <w:rFonts w:ascii="Garamond" w:hAnsi="Garamond" w:eastAsia="Garamond" w:cs="Garamond"/>
          <w:noProof w:val="0"/>
          <w:sz w:val="24"/>
          <w:szCs w:val="24"/>
          <w:lang w:val="en-US"/>
        </w:rPr>
        <w:t>you’ll</w:t>
      </w:r>
      <w:r w:rsidRPr="037A4F1E" w:rsidR="037A4F1E">
        <w:rPr>
          <w:rFonts w:ascii="Garamond" w:hAnsi="Garamond" w:eastAsia="Garamond" w:cs="Garamond"/>
          <w:noProof w:val="0"/>
          <w:sz w:val="24"/>
          <w:szCs w:val="24"/>
          <w:lang w:val="en-US"/>
        </w:rPr>
        <w:t xml:space="preserve"> engage with the question: </w:t>
      </w:r>
      <w:r w:rsidRPr="037A4F1E" w:rsidR="037A4F1E">
        <w:rPr>
          <w:rFonts w:ascii="Garamond" w:hAnsi="Garamond" w:eastAsia="Garamond" w:cs="Garamond"/>
          <w:b w:val="1"/>
          <w:bCs w:val="1"/>
          <w:noProof w:val="0"/>
          <w:sz w:val="24"/>
          <w:szCs w:val="24"/>
          <w:lang w:val="en-US"/>
        </w:rPr>
        <w:t>How can conversations across time help us understand education’s past and reshape its future?</w:t>
      </w:r>
    </w:p>
    <w:p w:rsidR="280C4FF2" w:rsidP="037A4F1E" w:rsidRDefault="280C4FF2" w14:paraId="5FFDE90B" w14:textId="18434F06">
      <w:pPr>
        <w:spacing w:before="240" w:beforeAutospacing="off" w:after="240" w:afterAutospacing="off"/>
        <w:jc w:val="left"/>
        <w:rPr>
          <w:rFonts w:ascii="Garamond" w:hAnsi="Garamond" w:eastAsia="Garamond" w:cs="Garamond"/>
          <w:b w:val="1"/>
          <w:bCs w:val="1"/>
          <w:noProof w:val="0"/>
          <w:sz w:val="24"/>
          <w:szCs w:val="24"/>
          <w:lang w:val="en-US"/>
        </w:rPr>
      </w:pPr>
      <w:r w:rsidRPr="037A4F1E" w:rsidR="037A4F1E">
        <w:rPr>
          <w:rFonts w:ascii="Garamond" w:hAnsi="Garamond" w:eastAsia="Garamond" w:cs="Garamond"/>
          <w:b w:val="1"/>
          <w:bCs w:val="1"/>
          <w:noProof w:val="0"/>
          <w:sz w:val="24"/>
          <w:szCs w:val="24"/>
          <w:lang w:val="en-US"/>
        </w:rPr>
        <w:t xml:space="preserve">Project Components </w:t>
      </w:r>
    </w:p>
    <w:tbl>
      <w:tblPr>
        <w:tblStyle w:val="TableNormal"/>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2250"/>
        <w:gridCol w:w="7110"/>
      </w:tblGrid>
      <w:tr w:rsidR="037A4F1E" w:rsidTr="037A4F1E" w14:paraId="1E6B62FC">
        <w:trPr>
          <w:trHeight w:val="300"/>
        </w:trPr>
        <w:tc>
          <w:tcPr>
            <w:tcW w:w="2250" w:type="dxa"/>
            <w:tcMar/>
            <w:vAlign w:val="center"/>
          </w:tcPr>
          <w:p w:rsidR="037A4F1E" w:rsidP="037A4F1E" w:rsidRDefault="037A4F1E" w14:paraId="663D23DF" w14:textId="16973570">
            <w:pPr>
              <w:spacing w:before="0" w:beforeAutospacing="off" w:after="0" w:afterAutospacing="off"/>
              <w:jc w:val="center"/>
              <w:rPr>
                <w:rFonts w:ascii="Garamond" w:hAnsi="Garamond" w:eastAsia="Garamond" w:cs="Garamond"/>
                <w:b w:val="1"/>
                <w:bCs w:val="1"/>
              </w:rPr>
            </w:pPr>
            <w:r w:rsidRPr="037A4F1E" w:rsidR="037A4F1E">
              <w:rPr>
                <w:rFonts w:ascii="Garamond" w:hAnsi="Garamond" w:eastAsia="Garamond" w:cs="Garamond"/>
                <w:b w:val="1"/>
                <w:bCs w:val="1"/>
              </w:rPr>
              <w:t>Component</w:t>
            </w:r>
          </w:p>
        </w:tc>
        <w:tc>
          <w:tcPr>
            <w:tcW w:w="7110" w:type="dxa"/>
            <w:tcMar/>
            <w:vAlign w:val="center"/>
          </w:tcPr>
          <w:p w:rsidR="037A4F1E" w:rsidP="037A4F1E" w:rsidRDefault="037A4F1E" w14:paraId="6A8B8A36" w14:textId="431DE228">
            <w:pPr>
              <w:spacing w:before="0" w:beforeAutospacing="off" w:after="0" w:afterAutospacing="off"/>
              <w:jc w:val="center"/>
              <w:rPr>
                <w:rFonts w:ascii="Garamond" w:hAnsi="Garamond" w:eastAsia="Garamond" w:cs="Garamond"/>
                <w:b w:val="1"/>
                <w:bCs w:val="1"/>
              </w:rPr>
            </w:pPr>
            <w:r w:rsidRPr="037A4F1E" w:rsidR="037A4F1E">
              <w:rPr>
                <w:rFonts w:ascii="Garamond" w:hAnsi="Garamond" w:eastAsia="Garamond" w:cs="Garamond"/>
                <w:b w:val="1"/>
                <w:bCs w:val="1"/>
              </w:rPr>
              <w:t>Description</w:t>
            </w:r>
          </w:p>
        </w:tc>
      </w:tr>
      <w:tr w:rsidR="037A4F1E" w:rsidTr="037A4F1E" w14:paraId="6B0902CB">
        <w:trPr>
          <w:trHeight w:val="300"/>
        </w:trPr>
        <w:tc>
          <w:tcPr>
            <w:tcW w:w="2250" w:type="dxa"/>
            <w:tcMar/>
            <w:vAlign w:val="center"/>
          </w:tcPr>
          <w:p w:rsidR="037A4F1E" w:rsidP="037A4F1E" w:rsidRDefault="037A4F1E" w14:paraId="0B5FB738" w14:textId="77749E04">
            <w:pPr>
              <w:spacing w:before="0" w:beforeAutospacing="off" w:after="0" w:afterAutospacing="off"/>
              <w:rPr>
                <w:rFonts w:ascii="Garamond" w:hAnsi="Garamond" w:eastAsia="Garamond" w:cs="Garamond"/>
                <w:b w:val="1"/>
                <w:bCs w:val="1"/>
              </w:rPr>
            </w:pPr>
            <w:r w:rsidRPr="037A4F1E" w:rsidR="037A4F1E">
              <w:rPr>
                <w:rFonts w:ascii="Garamond" w:hAnsi="Garamond" w:eastAsia="Garamond" w:cs="Garamond"/>
                <w:b w:val="1"/>
                <w:bCs w:val="1"/>
              </w:rPr>
              <w:t>Porch Setting</w:t>
            </w:r>
          </w:p>
        </w:tc>
        <w:tc>
          <w:tcPr>
            <w:tcW w:w="7110" w:type="dxa"/>
            <w:tcMar/>
            <w:vAlign w:val="center"/>
          </w:tcPr>
          <w:p w:rsidR="037A4F1E" w:rsidP="037A4F1E" w:rsidRDefault="037A4F1E" w14:paraId="5B1B6E27" w14:textId="173F2607">
            <w:pPr>
              <w:spacing w:before="0" w:beforeAutospacing="off" w:after="0" w:afterAutospacing="off"/>
              <w:rPr>
                <w:rFonts w:ascii="Garamond" w:hAnsi="Garamond" w:eastAsia="Garamond" w:cs="Garamond"/>
              </w:rPr>
            </w:pPr>
            <w:r w:rsidRPr="037A4F1E" w:rsidR="037A4F1E">
              <w:rPr>
                <w:rFonts w:ascii="Garamond" w:hAnsi="Garamond" w:eastAsia="Garamond" w:cs="Garamond"/>
              </w:rPr>
              <w:t xml:space="preserve">Describe where and when your porch conversation takes place. Ground it in </w:t>
            </w:r>
            <w:r w:rsidRPr="037A4F1E" w:rsidR="037A4F1E">
              <w:rPr>
                <w:rFonts w:ascii="Garamond" w:hAnsi="Garamond" w:eastAsia="Garamond" w:cs="Garamond"/>
              </w:rPr>
              <w:t>a real historical</w:t>
            </w:r>
            <w:r w:rsidRPr="037A4F1E" w:rsidR="037A4F1E">
              <w:rPr>
                <w:rFonts w:ascii="Garamond" w:hAnsi="Garamond" w:eastAsia="Garamond" w:cs="Garamond"/>
              </w:rPr>
              <w:t xml:space="preserve"> moment or region we have studied (e.g., Reconstruction-era South, Progressive Era Chicago, 1980s New York).</w:t>
            </w:r>
          </w:p>
        </w:tc>
      </w:tr>
      <w:tr w:rsidR="037A4F1E" w:rsidTr="037A4F1E" w14:paraId="5106C28C">
        <w:trPr>
          <w:trHeight w:val="300"/>
        </w:trPr>
        <w:tc>
          <w:tcPr>
            <w:tcW w:w="2250" w:type="dxa"/>
            <w:tcMar/>
            <w:vAlign w:val="center"/>
          </w:tcPr>
          <w:p w:rsidR="037A4F1E" w:rsidP="037A4F1E" w:rsidRDefault="037A4F1E" w14:paraId="32F156AF" w14:textId="2B46C7CC">
            <w:pPr>
              <w:spacing w:before="0" w:beforeAutospacing="off" w:after="0" w:afterAutospacing="off"/>
              <w:rPr>
                <w:rFonts w:ascii="Garamond" w:hAnsi="Garamond" w:eastAsia="Garamond" w:cs="Garamond"/>
                <w:b w:val="1"/>
                <w:bCs w:val="1"/>
              </w:rPr>
            </w:pPr>
            <w:r w:rsidRPr="037A4F1E" w:rsidR="037A4F1E">
              <w:rPr>
                <w:rFonts w:ascii="Garamond" w:hAnsi="Garamond" w:eastAsia="Garamond" w:cs="Garamond"/>
                <w:b w:val="1"/>
                <w:bCs w:val="1"/>
              </w:rPr>
              <w:t>Four Educational Voices from History</w:t>
            </w:r>
          </w:p>
        </w:tc>
        <w:tc>
          <w:tcPr>
            <w:tcW w:w="7110" w:type="dxa"/>
            <w:tcMar/>
            <w:vAlign w:val="center"/>
          </w:tcPr>
          <w:p w:rsidR="037A4F1E" w:rsidP="037A4F1E" w:rsidRDefault="037A4F1E" w14:paraId="7F13FAE0" w14:textId="5E90443A">
            <w:pPr>
              <w:spacing w:before="0" w:beforeAutospacing="off" w:after="0" w:afterAutospacing="off"/>
              <w:rPr>
                <w:rFonts w:ascii="Garamond" w:hAnsi="Garamond" w:eastAsia="Garamond" w:cs="Garamond"/>
              </w:rPr>
            </w:pPr>
            <w:r w:rsidRPr="037A4F1E" w:rsidR="037A4F1E">
              <w:rPr>
                <w:rFonts w:ascii="Garamond" w:hAnsi="Garamond" w:eastAsia="Garamond" w:cs="Garamond"/>
              </w:rPr>
              <w:t>Select at least four educational figures from course readings. Introduce each briefly and explain why they were invited to your porch.</w:t>
            </w:r>
          </w:p>
        </w:tc>
      </w:tr>
      <w:tr w:rsidR="037A4F1E" w:rsidTr="037A4F1E" w14:paraId="2C570ED7">
        <w:trPr>
          <w:trHeight w:val="300"/>
        </w:trPr>
        <w:tc>
          <w:tcPr>
            <w:tcW w:w="2250" w:type="dxa"/>
            <w:tcMar/>
            <w:vAlign w:val="center"/>
          </w:tcPr>
          <w:p w:rsidR="037A4F1E" w:rsidP="037A4F1E" w:rsidRDefault="037A4F1E" w14:paraId="21F2884A" w14:textId="0027718D">
            <w:pPr>
              <w:spacing w:before="0" w:beforeAutospacing="off" w:after="0" w:afterAutospacing="off"/>
              <w:rPr>
                <w:rFonts w:ascii="Garamond" w:hAnsi="Garamond" w:eastAsia="Garamond" w:cs="Garamond"/>
                <w:b w:val="1"/>
                <w:bCs w:val="1"/>
              </w:rPr>
            </w:pPr>
            <w:r w:rsidRPr="037A4F1E" w:rsidR="037A4F1E">
              <w:rPr>
                <w:rFonts w:ascii="Garamond" w:hAnsi="Garamond" w:eastAsia="Garamond" w:cs="Garamond"/>
                <w:b w:val="1"/>
                <w:bCs w:val="1"/>
              </w:rPr>
              <w:t>Teacher/School Interview Voices</w:t>
            </w:r>
          </w:p>
        </w:tc>
        <w:tc>
          <w:tcPr>
            <w:tcW w:w="7110" w:type="dxa"/>
            <w:tcMar/>
            <w:vAlign w:val="center"/>
          </w:tcPr>
          <w:p w:rsidR="037A4F1E" w:rsidP="037A4F1E" w:rsidRDefault="037A4F1E" w14:paraId="30426CA3" w14:textId="018229EF">
            <w:pPr>
              <w:spacing w:before="0" w:beforeAutospacing="off" w:after="0" w:afterAutospacing="off"/>
              <w:rPr>
                <w:rFonts w:ascii="Garamond" w:hAnsi="Garamond" w:eastAsia="Garamond" w:cs="Garamond"/>
              </w:rPr>
            </w:pPr>
            <w:r w:rsidRPr="037A4F1E" w:rsidR="037A4F1E">
              <w:rPr>
                <w:rFonts w:ascii="Garamond" w:hAnsi="Garamond" w:eastAsia="Garamond" w:cs="Garamond"/>
              </w:rPr>
              <w:t>Include at least two quotes or themes from teacher oral histories (from your midterm or new interviews). These voices should interact with or challenge the historical guests.</w:t>
            </w:r>
          </w:p>
        </w:tc>
      </w:tr>
      <w:tr w:rsidR="037A4F1E" w:rsidTr="037A4F1E" w14:paraId="4AB5DE70">
        <w:trPr>
          <w:trHeight w:val="300"/>
        </w:trPr>
        <w:tc>
          <w:tcPr>
            <w:tcW w:w="2250" w:type="dxa"/>
            <w:tcMar/>
            <w:vAlign w:val="center"/>
          </w:tcPr>
          <w:p w:rsidR="037A4F1E" w:rsidP="037A4F1E" w:rsidRDefault="037A4F1E" w14:paraId="03BEC0B2" w14:textId="50673F68">
            <w:pPr>
              <w:spacing w:before="0" w:beforeAutospacing="off" w:after="0" w:afterAutospacing="off"/>
              <w:rPr>
                <w:rFonts w:ascii="Garamond" w:hAnsi="Garamond" w:eastAsia="Garamond" w:cs="Garamond"/>
                <w:b w:val="1"/>
                <w:bCs w:val="1"/>
              </w:rPr>
            </w:pPr>
            <w:r w:rsidRPr="037A4F1E" w:rsidR="037A4F1E">
              <w:rPr>
                <w:rFonts w:ascii="Garamond" w:hAnsi="Garamond" w:eastAsia="Garamond" w:cs="Garamond"/>
                <w:b w:val="1"/>
                <w:bCs w:val="1"/>
              </w:rPr>
              <w:t>Central Educational Theme</w:t>
            </w:r>
          </w:p>
        </w:tc>
        <w:tc>
          <w:tcPr>
            <w:tcW w:w="7110" w:type="dxa"/>
            <w:tcMar/>
            <w:vAlign w:val="center"/>
          </w:tcPr>
          <w:p w:rsidR="037A4F1E" w:rsidP="037A4F1E" w:rsidRDefault="037A4F1E" w14:paraId="11BF3C43" w14:textId="384EE579">
            <w:pPr>
              <w:spacing w:before="0" w:beforeAutospacing="off" w:after="0" w:afterAutospacing="off"/>
              <w:rPr>
                <w:rFonts w:ascii="Garamond" w:hAnsi="Garamond" w:eastAsia="Garamond" w:cs="Garamond"/>
              </w:rPr>
            </w:pPr>
            <w:r w:rsidRPr="037A4F1E" w:rsidR="037A4F1E">
              <w:rPr>
                <w:rFonts w:ascii="Garamond" w:hAnsi="Garamond" w:eastAsia="Garamond" w:cs="Garamond"/>
              </w:rPr>
              <w:t xml:space="preserve">Focus the conversation </w:t>
            </w:r>
            <w:r w:rsidRPr="037A4F1E" w:rsidR="037A4F1E">
              <w:rPr>
                <w:rFonts w:ascii="Garamond" w:hAnsi="Garamond" w:eastAsia="Garamond" w:cs="Garamond"/>
              </w:rPr>
              <w:t>around</w:t>
            </w:r>
            <w:r w:rsidRPr="037A4F1E" w:rsidR="037A4F1E">
              <w:rPr>
                <w:rFonts w:ascii="Garamond" w:hAnsi="Garamond" w:eastAsia="Garamond" w:cs="Garamond"/>
              </w:rPr>
              <w:t xml:space="preserve"> a key issue (e.g., segregation, curriculum, testing, inclusion, teacher identity, justice, etc.). Make sure this theme ties the whole piece together.</w:t>
            </w:r>
          </w:p>
        </w:tc>
      </w:tr>
      <w:tr w:rsidR="037A4F1E" w:rsidTr="037A4F1E" w14:paraId="697A5E1F">
        <w:trPr>
          <w:trHeight w:val="300"/>
        </w:trPr>
        <w:tc>
          <w:tcPr>
            <w:tcW w:w="2250" w:type="dxa"/>
            <w:tcMar/>
            <w:vAlign w:val="center"/>
          </w:tcPr>
          <w:p w:rsidR="037A4F1E" w:rsidP="037A4F1E" w:rsidRDefault="037A4F1E" w14:paraId="2CBA41EA" w14:textId="492CA786">
            <w:pPr>
              <w:spacing w:before="0" w:beforeAutospacing="off" w:after="0" w:afterAutospacing="off"/>
              <w:rPr>
                <w:rFonts w:ascii="Garamond" w:hAnsi="Garamond" w:eastAsia="Garamond" w:cs="Garamond"/>
                <w:b w:val="1"/>
                <w:bCs w:val="1"/>
              </w:rPr>
            </w:pPr>
            <w:r w:rsidRPr="037A4F1E" w:rsidR="037A4F1E">
              <w:rPr>
                <w:rFonts w:ascii="Garamond" w:hAnsi="Garamond" w:eastAsia="Garamond" w:cs="Garamond"/>
                <w:b w:val="1"/>
                <w:bCs w:val="1"/>
              </w:rPr>
              <w:t>Porch Dialogue or Storytelling</w:t>
            </w:r>
          </w:p>
        </w:tc>
        <w:tc>
          <w:tcPr>
            <w:tcW w:w="7110" w:type="dxa"/>
            <w:tcMar/>
            <w:vAlign w:val="center"/>
          </w:tcPr>
          <w:p w:rsidR="037A4F1E" w:rsidP="037A4F1E" w:rsidRDefault="037A4F1E" w14:paraId="48D28C73" w14:textId="450DD19D">
            <w:pPr>
              <w:spacing w:before="0" w:beforeAutospacing="off" w:after="0" w:afterAutospacing="off"/>
              <w:rPr>
                <w:rFonts w:ascii="Garamond" w:hAnsi="Garamond" w:eastAsia="Garamond" w:cs="Garamond"/>
              </w:rPr>
            </w:pPr>
            <w:r w:rsidRPr="037A4F1E" w:rsidR="037A4F1E">
              <w:rPr>
                <w:rFonts w:ascii="Garamond" w:hAnsi="Garamond" w:eastAsia="Garamond" w:cs="Garamond"/>
              </w:rPr>
              <w:t>Use a creative format (narrative, script, story) to bring the voices into conversation. Historical figures and students should engage with one another across time.</w:t>
            </w:r>
          </w:p>
        </w:tc>
      </w:tr>
      <w:tr w:rsidR="037A4F1E" w:rsidTr="037A4F1E" w14:paraId="00AB4847">
        <w:trPr>
          <w:trHeight w:val="300"/>
        </w:trPr>
        <w:tc>
          <w:tcPr>
            <w:tcW w:w="2250" w:type="dxa"/>
            <w:tcMar/>
            <w:vAlign w:val="center"/>
          </w:tcPr>
          <w:p w:rsidR="037A4F1E" w:rsidP="037A4F1E" w:rsidRDefault="037A4F1E" w14:paraId="7374327A" w14:textId="2B715036">
            <w:pPr>
              <w:spacing w:before="0" w:beforeAutospacing="off" w:after="0" w:afterAutospacing="off"/>
              <w:rPr>
                <w:rFonts w:ascii="Garamond" w:hAnsi="Garamond" w:eastAsia="Garamond" w:cs="Garamond"/>
                <w:b w:val="1"/>
                <w:bCs w:val="1"/>
              </w:rPr>
            </w:pPr>
            <w:r w:rsidRPr="037A4F1E" w:rsidR="037A4F1E">
              <w:rPr>
                <w:rFonts w:ascii="Garamond" w:hAnsi="Garamond" w:eastAsia="Garamond" w:cs="Garamond"/>
                <w:b w:val="1"/>
                <w:bCs w:val="1"/>
              </w:rPr>
              <w:t>Future Vision</w:t>
            </w:r>
          </w:p>
        </w:tc>
        <w:tc>
          <w:tcPr>
            <w:tcW w:w="7110" w:type="dxa"/>
            <w:tcMar/>
            <w:vAlign w:val="center"/>
          </w:tcPr>
          <w:p w:rsidR="037A4F1E" w:rsidP="037A4F1E" w:rsidRDefault="037A4F1E" w14:paraId="1AEDD4BC" w14:textId="31944FB2">
            <w:pPr>
              <w:spacing w:before="0" w:beforeAutospacing="off" w:after="0" w:afterAutospacing="off"/>
              <w:rPr>
                <w:rFonts w:ascii="Garamond" w:hAnsi="Garamond" w:eastAsia="Garamond" w:cs="Garamond"/>
              </w:rPr>
            </w:pPr>
            <w:r w:rsidRPr="037A4F1E" w:rsidR="037A4F1E">
              <w:rPr>
                <w:rFonts w:ascii="Garamond" w:hAnsi="Garamond" w:eastAsia="Garamond" w:cs="Garamond"/>
              </w:rPr>
              <w:t>End with a speculative “what if?” moment: If these voices shaped education today or tomorrow, what might schools look and feel like? What would change?</w:t>
            </w:r>
          </w:p>
        </w:tc>
      </w:tr>
      <w:tr w:rsidR="037A4F1E" w:rsidTr="037A4F1E" w14:paraId="1A6223E8">
        <w:trPr>
          <w:trHeight w:val="300"/>
        </w:trPr>
        <w:tc>
          <w:tcPr>
            <w:tcW w:w="2250" w:type="dxa"/>
            <w:tcMar/>
            <w:vAlign w:val="center"/>
          </w:tcPr>
          <w:p w:rsidR="037A4F1E" w:rsidP="037A4F1E" w:rsidRDefault="037A4F1E" w14:paraId="68385C5F" w14:textId="49575A13">
            <w:pPr>
              <w:spacing w:before="0" w:beforeAutospacing="off" w:after="0" w:afterAutospacing="off"/>
              <w:rPr>
                <w:rFonts w:ascii="Garamond" w:hAnsi="Garamond" w:eastAsia="Garamond" w:cs="Garamond"/>
                <w:b w:val="1"/>
                <w:bCs w:val="1"/>
              </w:rPr>
            </w:pPr>
            <w:r w:rsidRPr="037A4F1E" w:rsidR="037A4F1E">
              <w:rPr>
                <w:rFonts w:ascii="Garamond" w:hAnsi="Garamond" w:eastAsia="Garamond" w:cs="Garamond"/>
                <w:b w:val="1"/>
                <w:bCs w:val="1"/>
              </w:rPr>
              <w:t>Citations &amp; Author’s Note</w:t>
            </w:r>
          </w:p>
        </w:tc>
        <w:tc>
          <w:tcPr>
            <w:tcW w:w="7110" w:type="dxa"/>
            <w:tcMar/>
            <w:vAlign w:val="center"/>
          </w:tcPr>
          <w:p w:rsidR="037A4F1E" w:rsidP="037A4F1E" w:rsidRDefault="037A4F1E" w14:paraId="0FD9C2D6" w14:textId="604043B1">
            <w:pPr>
              <w:spacing w:before="0" w:beforeAutospacing="off" w:after="0" w:afterAutospacing="off"/>
              <w:rPr>
                <w:rFonts w:ascii="Garamond" w:hAnsi="Garamond" w:eastAsia="Garamond" w:cs="Garamond"/>
              </w:rPr>
            </w:pPr>
            <w:r w:rsidRPr="037A4F1E" w:rsidR="037A4F1E">
              <w:rPr>
                <w:rFonts w:ascii="Garamond" w:hAnsi="Garamond" w:eastAsia="Garamond" w:cs="Garamond"/>
              </w:rPr>
              <w:t>Use APA style to cite all sources, including readings and interviews. Include a 150–</w:t>
            </w:r>
            <w:r w:rsidRPr="037A4F1E" w:rsidR="037A4F1E">
              <w:rPr>
                <w:rFonts w:ascii="Garamond" w:hAnsi="Garamond" w:eastAsia="Garamond" w:cs="Garamond"/>
              </w:rPr>
              <w:t>250 word</w:t>
            </w:r>
            <w:r w:rsidRPr="037A4F1E" w:rsidR="037A4F1E">
              <w:rPr>
                <w:rFonts w:ascii="Garamond" w:hAnsi="Garamond" w:eastAsia="Garamond" w:cs="Garamond"/>
              </w:rPr>
              <w:t xml:space="preserve"> author’s note explaining your creative decisions and how your work is grounded in research.</w:t>
            </w:r>
          </w:p>
        </w:tc>
      </w:tr>
    </w:tbl>
    <w:p w:rsidR="280C4FF2" w:rsidP="037A4F1E" w:rsidRDefault="280C4FF2" w14:paraId="3DCA1C2A" w14:textId="2130C756">
      <w:pPr>
        <w:pStyle w:val="Normal"/>
        <w:spacing w:before="240" w:beforeAutospacing="off" w:after="240" w:afterAutospacing="off"/>
        <w:jc w:val="left"/>
        <w:rPr>
          <w:rFonts w:ascii="Garamond" w:hAnsi="Garamond" w:eastAsia="Garamond" w:cs="Garamond"/>
          <w:b w:val="1"/>
          <w:bCs w:val="1"/>
          <w:noProof w:val="0"/>
          <w:sz w:val="24"/>
          <w:szCs w:val="24"/>
          <w:lang w:val="en-US"/>
        </w:rPr>
      </w:pPr>
      <w:r w:rsidRPr="037A4F1E" w:rsidR="037A4F1E">
        <w:rPr>
          <w:rFonts w:ascii="Garamond" w:hAnsi="Garamond" w:eastAsia="Garamond" w:cs="Garamond"/>
          <w:b w:val="1"/>
          <w:bCs w:val="1"/>
          <w:noProof w:val="0"/>
          <w:sz w:val="24"/>
          <w:szCs w:val="24"/>
          <w:lang w:val="en-US"/>
        </w:rPr>
        <w:t>Format Options</w:t>
      </w:r>
    </w:p>
    <w:p w:rsidR="280C4FF2" w:rsidP="037A4F1E" w:rsidRDefault="280C4FF2" w14:paraId="092BD77D" w14:textId="4B830DA8">
      <w:pPr>
        <w:pStyle w:val="Normal"/>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Choose the format that best fits your voice and creativity. All formats require the same level of historical and analytical rigor.</w:t>
      </w:r>
    </w:p>
    <w:p w:rsidR="280C4FF2" w:rsidP="037A4F1E" w:rsidRDefault="280C4FF2" w14:paraId="49784240" w14:textId="4B9B2111">
      <w:pPr>
        <w:pStyle w:val="ListParagraph"/>
        <w:numPr>
          <w:ilvl w:val="0"/>
          <w:numId w:val="9"/>
        </w:num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Narrative Essay</w:t>
      </w:r>
    </w:p>
    <w:p w:rsidR="280C4FF2" w:rsidP="037A4F1E" w:rsidRDefault="280C4FF2" w14:paraId="24B68B29" w14:textId="27181B5B">
      <w:pPr>
        <w:pStyle w:val="ListParagraph"/>
        <w:numPr>
          <w:ilvl w:val="0"/>
          <w:numId w:val="9"/>
        </w:num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Scripted Dialogue or Play</w:t>
      </w:r>
    </w:p>
    <w:p w:rsidR="280C4FF2" w:rsidP="037A4F1E" w:rsidRDefault="280C4FF2" w14:paraId="180F9D4A" w14:textId="439276B6">
      <w:pPr>
        <w:pStyle w:val="ListParagraph"/>
        <w:numPr>
          <w:ilvl w:val="0"/>
          <w:numId w:val="9"/>
        </w:num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Podcast (with transcript)</w:t>
      </w:r>
    </w:p>
    <w:p w:rsidR="280C4FF2" w:rsidP="037A4F1E" w:rsidRDefault="280C4FF2" w14:paraId="1FA344FF" w14:textId="35020F3A">
      <w:pPr>
        <w:pStyle w:val="ListParagraph"/>
        <w:numPr>
          <w:ilvl w:val="0"/>
          <w:numId w:val="9"/>
        </w:num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Visual Zine or Illustrated Journal (with written companion)</w:t>
      </w:r>
    </w:p>
    <w:p w:rsidR="280C4FF2" w:rsidP="037A4F1E" w:rsidRDefault="280C4FF2" w14:paraId="23F50F4F" w14:textId="51318D7A">
      <w:pPr>
        <w:pStyle w:val="ListParagraph"/>
        <w:numPr>
          <w:ilvl w:val="0"/>
          <w:numId w:val="9"/>
        </w:num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Short Speculative Fiction Story</w:t>
      </w:r>
    </w:p>
    <w:p w:rsidR="280C4FF2" w:rsidP="037A4F1E" w:rsidRDefault="280C4FF2" w14:paraId="3042A6DF" w14:textId="542C2DF2">
      <w:pPr>
        <w:pStyle w:val="ListParagraph"/>
        <w:numPr>
          <w:ilvl w:val="0"/>
          <w:numId w:val="9"/>
        </w:num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noProof w:val="0"/>
          <w:sz w:val="24"/>
          <w:szCs w:val="24"/>
          <w:lang w:val="en-US"/>
        </w:rPr>
        <w:t>Mini-Documentary (7–10 min, with written script + citations)</w:t>
      </w:r>
    </w:p>
    <w:p w:rsidR="280C4FF2" w:rsidP="037A4F1E" w:rsidRDefault="280C4FF2" w14:paraId="29CA399C" w14:textId="3A1A02D9">
      <w:pPr>
        <w:pStyle w:val="ListParagraph"/>
        <w:numPr>
          <w:ilvl w:val="0"/>
          <w:numId w:val="9"/>
        </w:numPr>
        <w:spacing w:before="240" w:beforeAutospacing="off" w:after="240" w:afterAutospacing="off"/>
        <w:jc w:val="left"/>
        <w:rPr>
          <w:rFonts w:ascii="Garamond" w:hAnsi="Garamond" w:eastAsia="Garamond" w:cs="Garamond"/>
          <w:noProof w:val="0"/>
          <w:sz w:val="24"/>
          <w:szCs w:val="24"/>
          <w:lang w:val="en-US"/>
        </w:rPr>
      </w:pPr>
      <w:r w:rsidRPr="037A4F1E" w:rsidR="037A4F1E">
        <w:rPr>
          <w:rFonts w:ascii="Garamond" w:hAnsi="Garamond" w:eastAsia="Garamond" w:cs="Garamond"/>
          <w:b w:val="1"/>
          <w:bCs w:val="1"/>
          <w:noProof w:val="0"/>
          <w:sz w:val="24"/>
          <w:szCs w:val="24"/>
          <w:u w:val="single"/>
          <w:lang w:val="en-US"/>
        </w:rPr>
        <w:t>Length</w:t>
      </w:r>
      <w:r w:rsidRPr="037A4F1E" w:rsidR="037A4F1E">
        <w:rPr>
          <w:rFonts w:ascii="Garamond" w:hAnsi="Garamond" w:eastAsia="Garamond" w:cs="Garamond"/>
          <w:noProof w:val="0"/>
          <w:sz w:val="24"/>
          <w:szCs w:val="24"/>
          <w:u w:val="single"/>
          <w:lang w:val="en-US"/>
        </w:rPr>
        <w:t>: 5–7 pages or equivalent (double-spaced, 12 pt font)</w:t>
      </w:r>
    </w:p>
    <w:p w:rsidR="280C4FF2" w:rsidP="280C4FF2" w:rsidRDefault="280C4FF2" w14:paraId="13F68266" w14:textId="53673C41">
      <w:pPr>
        <w:pStyle w:val="Normal"/>
        <w:spacing w:before="240" w:beforeAutospacing="off" w:after="240" w:afterAutospacing="off"/>
        <w:jc w:val="left"/>
        <w:rPr>
          <w:noProof w:val="0"/>
          <w:sz w:val="22"/>
          <w:szCs w:val="22"/>
          <w:lang w:val="en-US"/>
        </w:rPr>
      </w:pPr>
    </w:p>
    <w:p w:rsidR="280C4FF2" w:rsidRDefault="280C4FF2" w14:paraId="2DB40F0F" w14:textId="3B6E57A4">
      <w:r>
        <w:br w:type="page"/>
      </w:r>
    </w:p>
    <w:tbl>
      <w:tblPr>
        <w:tblStyle w:val="TableNormal"/>
        <w:tblW w:w="9360" w:type="dxa"/>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1395"/>
        <w:gridCol w:w="2488"/>
        <w:gridCol w:w="2120"/>
        <w:gridCol w:w="1562"/>
        <w:gridCol w:w="1795"/>
      </w:tblGrid>
      <w:tr w:rsidR="280C4FF2" w:rsidTr="302D8827" w14:paraId="7A6A8944">
        <w:trPr>
          <w:trHeight w:val="300"/>
        </w:trPr>
        <w:tc>
          <w:tcPr>
            <w:tcW w:w="1395" w:type="dxa"/>
            <w:tcMar/>
            <w:vAlign w:val="center"/>
          </w:tcPr>
          <w:p w:rsidR="280C4FF2" w:rsidP="280C4FF2" w:rsidRDefault="280C4FF2" w14:paraId="6D9B3BED" w14:textId="77AC6A3A">
            <w:pPr>
              <w:spacing w:before="0" w:beforeAutospacing="off" w:after="0" w:afterAutospacing="off"/>
              <w:jc w:val="center"/>
              <w:rPr>
                <w:rFonts w:ascii="Garamond" w:hAnsi="Garamond" w:eastAsia="Garamond" w:cs="Garamond"/>
                <w:b w:val="1"/>
                <w:bCs w:val="1"/>
              </w:rPr>
            </w:pPr>
            <w:r w:rsidRPr="280C4FF2" w:rsidR="280C4FF2">
              <w:rPr>
                <w:rFonts w:ascii="Garamond" w:hAnsi="Garamond" w:eastAsia="Garamond" w:cs="Garamond"/>
                <w:b w:val="1"/>
                <w:bCs w:val="1"/>
              </w:rPr>
              <w:t>Criteria</w:t>
            </w:r>
          </w:p>
        </w:tc>
        <w:tc>
          <w:tcPr>
            <w:tcW w:w="2488" w:type="dxa"/>
            <w:tcMar/>
            <w:vAlign w:val="center"/>
          </w:tcPr>
          <w:p w:rsidR="280C4FF2" w:rsidP="280C4FF2" w:rsidRDefault="280C4FF2" w14:paraId="18CF2AB3" w14:textId="0E202C4E">
            <w:pPr>
              <w:spacing w:before="0" w:beforeAutospacing="off" w:after="0" w:afterAutospacing="off"/>
              <w:jc w:val="center"/>
              <w:rPr>
                <w:rFonts w:ascii="Garamond" w:hAnsi="Garamond" w:eastAsia="Garamond" w:cs="Garamond"/>
                <w:b w:val="1"/>
                <w:bCs w:val="1"/>
              </w:rPr>
            </w:pPr>
            <w:r w:rsidRPr="280C4FF2" w:rsidR="280C4FF2">
              <w:rPr>
                <w:rFonts w:ascii="Garamond" w:hAnsi="Garamond" w:eastAsia="Garamond" w:cs="Garamond"/>
                <w:b w:val="1"/>
                <w:bCs w:val="1"/>
              </w:rPr>
              <w:t xml:space="preserve">Excellent </w:t>
            </w:r>
          </w:p>
        </w:tc>
        <w:tc>
          <w:tcPr>
            <w:tcW w:w="2120" w:type="dxa"/>
            <w:tcMar/>
            <w:vAlign w:val="center"/>
          </w:tcPr>
          <w:p w:rsidR="280C4FF2" w:rsidP="280C4FF2" w:rsidRDefault="280C4FF2" w14:paraId="298E82B2" w14:textId="08B61DF2">
            <w:pPr>
              <w:spacing w:before="0" w:beforeAutospacing="off" w:after="0" w:afterAutospacing="off"/>
              <w:jc w:val="center"/>
              <w:rPr>
                <w:rFonts w:ascii="Garamond" w:hAnsi="Garamond" w:eastAsia="Garamond" w:cs="Garamond"/>
                <w:b w:val="1"/>
                <w:bCs w:val="1"/>
              </w:rPr>
            </w:pPr>
            <w:r w:rsidRPr="280C4FF2" w:rsidR="280C4FF2">
              <w:rPr>
                <w:rFonts w:ascii="Garamond" w:hAnsi="Garamond" w:eastAsia="Garamond" w:cs="Garamond"/>
                <w:b w:val="1"/>
                <w:bCs w:val="1"/>
              </w:rPr>
              <w:t xml:space="preserve">Proficient </w:t>
            </w:r>
          </w:p>
        </w:tc>
        <w:tc>
          <w:tcPr>
            <w:tcW w:w="1562" w:type="dxa"/>
            <w:tcMar/>
            <w:vAlign w:val="center"/>
          </w:tcPr>
          <w:p w:rsidR="280C4FF2" w:rsidP="280C4FF2" w:rsidRDefault="280C4FF2" w14:paraId="06917505" w14:textId="7D3B74A1">
            <w:pPr>
              <w:spacing w:before="0" w:beforeAutospacing="off" w:after="0" w:afterAutospacing="off"/>
              <w:jc w:val="center"/>
              <w:rPr>
                <w:rFonts w:ascii="Garamond" w:hAnsi="Garamond" w:eastAsia="Garamond" w:cs="Garamond"/>
                <w:b w:val="1"/>
                <w:bCs w:val="1"/>
              </w:rPr>
            </w:pPr>
            <w:r w:rsidRPr="280C4FF2" w:rsidR="280C4FF2">
              <w:rPr>
                <w:rFonts w:ascii="Garamond" w:hAnsi="Garamond" w:eastAsia="Garamond" w:cs="Garamond"/>
                <w:b w:val="1"/>
                <w:bCs w:val="1"/>
              </w:rPr>
              <w:t xml:space="preserve">Developing </w:t>
            </w:r>
          </w:p>
        </w:tc>
        <w:tc>
          <w:tcPr>
            <w:tcW w:w="1795" w:type="dxa"/>
            <w:tcMar/>
            <w:vAlign w:val="center"/>
          </w:tcPr>
          <w:p w:rsidR="280C4FF2" w:rsidP="280C4FF2" w:rsidRDefault="280C4FF2" w14:paraId="10B9D125" w14:textId="5B39AB6A">
            <w:pPr>
              <w:spacing w:before="0" w:beforeAutospacing="off" w:after="0" w:afterAutospacing="off"/>
              <w:jc w:val="center"/>
              <w:rPr>
                <w:rFonts w:ascii="Garamond" w:hAnsi="Garamond" w:eastAsia="Garamond" w:cs="Garamond"/>
                <w:b w:val="1"/>
                <w:bCs w:val="1"/>
              </w:rPr>
            </w:pPr>
            <w:r w:rsidRPr="280C4FF2" w:rsidR="280C4FF2">
              <w:rPr>
                <w:rFonts w:ascii="Garamond" w:hAnsi="Garamond" w:eastAsia="Garamond" w:cs="Garamond"/>
                <w:b w:val="1"/>
                <w:bCs w:val="1"/>
              </w:rPr>
              <w:t xml:space="preserve">Needs Improvement </w:t>
            </w:r>
          </w:p>
        </w:tc>
      </w:tr>
      <w:tr w:rsidR="280C4FF2" w:rsidTr="302D8827" w14:paraId="3A572D49">
        <w:trPr>
          <w:trHeight w:val="300"/>
        </w:trPr>
        <w:tc>
          <w:tcPr>
            <w:tcW w:w="1395" w:type="dxa"/>
            <w:tcMar/>
            <w:vAlign w:val="center"/>
          </w:tcPr>
          <w:p w:rsidR="280C4FF2" w:rsidP="037A4F1E" w:rsidRDefault="280C4FF2" w14:paraId="7B8311E2" w14:textId="55E2EA8F">
            <w:pPr>
              <w:spacing w:before="0" w:beforeAutospacing="off" w:after="0" w:afterAutospacing="off"/>
              <w:rPr>
                <w:rFonts w:ascii="Garamond" w:hAnsi="Garamond" w:eastAsia="Garamond" w:cs="Garamond"/>
                <w:b w:val="1"/>
                <w:bCs w:val="1"/>
              </w:rPr>
            </w:pPr>
            <w:r w:rsidRPr="037A4F1E" w:rsidR="037A4F1E">
              <w:rPr>
                <w:rFonts w:ascii="Garamond" w:hAnsi="Garamond" w:eastAsia="Garamond" w:cs="Garamond"/>
                <w:b w:val="1"/>
                <w:bCs w:val="1"/>
              </w:rPr>
              <w:t>Historical Understanding</w:t>
            </w:r>
          </w:p>
          <w:p w:rsidR="280C4FF2" w:rsidP="280C4FF2" w:rsidRDefault="280C4FF2" w14:paraId="315F0339" w14:textId="066E1D6C">
            <w:pPr>
              <w:spacing w:before="0" w:beforeAutospacing="off" w:after="0" w:afterAutospacing="off"/>
              <w:rPr>
                <w:rFonts w:ascii="Garamond" w:hAnsi="Garamond" w:eastAsia="Garamond" w:cs="Garamond"/>
                <w:b w:val="1"/>
                <w:bCs w:val="1"/>
              </w:rPr>
            </w:pPr>
            <w:r w:rsidRPr="302D8827" w:rsidR="302D8827">
              <w:rPr>
                <w:rFonts w:ascii="Garamond" w:hAnsi="Garamond" w:eastAsia="Garamond" w:cs="Garamond"/>
                <w:b w:val="1"/>
                <w:bCs w:val="1"/>
              </w:rPr>
              <w:t>25 points</w:t>
            </w:r>
          </w:p>
        </w:tc>
        <w:tc>
          <w:tcPr>
            <w:tcW w:w="2488" w:type="dxa"/>
            <w:tcMar/>
            <w:vAlign w:val="center"/>
          </w:tcPr>
          <w:p w:rsidR="280C4FF2" w:rsidP="037A4F1E" w:rsidRDefault="280C4FF2" w14:paraId="19D1C67D" w14:textId="52C69383">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 xml:space="preserve">Demonstrates deep, </w:t>
            </w:r>
            <w:r w:rsidRPr="037A4F1E" w:rsidR="037A4F1E">
              <w:rPr>
                <w:rFonts w:ascii="Garamond" w:hAnsi="Garamond" w:eastAsia="Garamond" w:cs="Garamond"/>
                <w:sz w:val="20"/>
                <w:szCs w:val="20"/>
              </w:rPr>
              <w:t>accurate</w:t>
            </w:r>
            <w:r w:rsidRPr="037A4F1E" w:rsidR="037A4F1E">
              <w:rPr>
                <w:rFonts w:ascii="Garamond" w:hAnsi="Garamond" w:eastAsia="Garamond" w:cs="Garamond"/>
                <w:sz w:val="20"/>
                <w:szCs w:val="20"/>
              </w:rPr>
              <w:t xml:space="preserve"> understanding of historical context and figures; integrates at least 4 historical voices with clear relevance to the theme</w:t>
            </w:r>
          </w:p>
        </w:tc>
        <w:tc>
          <w:tcPr>
            <w:tcW w:w="2120" w:type="dxa"/>
            <w:tcMar/>
            <w:vAlign w:val="center"/>
          </w:tcPr>
          <w:p w:rsidR="280C4FF2" w:rsidP="037A4F1E" w:rsidRDefault="280C4FF2" w14:paraId="43693DE0" w14:textId="682D9B60">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 xml:space="preserve">Shows solid understanding with minor inaccuracies or missed connections; figures </w:t>
            </w:r>
            <w:r w:rsidRPr="037A4F1E" w:rsidR="037A4F1E">
              <w:rPr>
                <w:rFonts w:ascii="Garamond" w:hAnsi="Garamond" w:eastAsia="Garamond" w:cs="Garamond"/>
                <w:sz w:val="20"/>
                <w:szCs w:val="20"/>
              </w:rPr>
              <w:t>generally relevant</w:t>
            </w:r>
          </w:p>
        </w:tc>
        <w:tc>
          <w:tcPr>
            <w:tcW w:w="1562" w:type="dxa"/>
            <w:tcMar/>
            <w:vAlign w:val="center"/>
          </w:tcPr>
          <w:p w:rsidR="280C4FF2" w:rsidP="037A4F1E" w:rsidRDefault="280C4FF2" w14:paraId="72AEA4AB" w14:textId="5BA046E8">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Basic understanding; connections to history are superficial or unclear</w:t>
            </w:r>
          </w:p>
        </w:tc>
        <w:tc>
          <w:tcPr>
            <w:tcW w:w="1795" w:type="dxa"/>
            <w:tcMar/>
            <w:vAlign w:val="center"/>
          </w:tcPr>
          <w:p w:rsidR="280C4FF2" w:rsidP="037A4F1E" w:rsidRDefault="280C4FF2" w14:paraId="7E606380" w14:textId="4B2D133C">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Limited understanding of historical content; major inaccuracies or vague references</w:t>
            </w:r>
          </w:p>
        </w:tc>
      </w:tr>
      <w:tr w:rsidR="280C4FF2" w:rsidTr="302D8827" w14:paraId="3303DAE7">
        <w:trPr>
          <w:trHeight w:val="300"/>
        </w:trPr>
        <w:tc>
          <w:tcPr>
            <w:tcW w:w="1395" w:type="dxa"/>
            <w:tcMar/>
            <w:vAlign w:val="center"/>
          </w:tcPr>
          <w:p w:rsidR="280C4FF2" w:rsidP="302D8827" w:rsidRDefault="280C4FF2" w14:paraId="6DF5BD01" w14:textId="0C07ED5D">
            <w:pPr>
              <w:spacing w:before="0" w:beforeAutospacing="off" w:after="0" w:afterAutospacing="off"/>
              <w:rPr>
                <w:rFonts w:ascii="Garamond" w:hAnsi="Garamond" w:eastAsia="Garamond" w:cs="Garamond"/>
                <w:b w:val="1"/>
                <w:bCs w:val="1"/>
              </w:rPr>
            </w:pPr>
            <w:r w:rsidRPr="302D8827" w:rsidR="302D8827">
              <w:rPr>
                <w:rFonts w:ascii="Garamond" w:hAnsi="Garamond" w:eastAsia="Garamond" w:cs="Garamond"/>
                <w:b w:val="1"/>
                <w:bCs w:val="1"/>
              </w:rPr>
              <w:t xml:space="preserve">Use of Sources </w:t>
            </w:r>
          </w:p>
          <w:p w:rsidR="280C4FF2" w:rsidP="280C4FF2" w:rsidRDefault="280C4FF2" w14:paraId="45F02133" w14:textId="2908420B">
            <w:pPr>
              <w:spacing w:before="0" w:beforeAutospacing="off" w:after="0" w:afterAutospacing="off"/>
              <w:rPr>
                <w:rFonts w:ascii="Garamond" w:hAnsi="Garamond" w:eastAsia="Garamond" w:cs="Garamond"/>
                <w:b w:val="1"/>
                <w:bCs w:val="1"/>
              </w:rPr>
            </w:pPr>
            <w:r w:rsidRPr="302D8827" w:rsidR="302D8827">
              <w:rPr>
                <w:rFonts w:ascii="Garamond" w:hAnsi="Garamond" w:eastAsia="Garamond" w:cs="Garamond"/>
                <w:b w:val="1"/>
                <w:bCs w:val="1"/>
              </w:rPr>
              <w:t>25 points</w:t>
            </w:r>
          </w:p>
        </w:tc>
        <w:tc>
          <w:tcPr>
            <w:tcW w:w="2488" w:type="dxa"/>
            <w:tcMar/>
            <w:vAlign w:val="center"/>
          </w:tcPr>
          <w:p w:rsidR="280C4FF2" w:rsidP="037A4F1E" w:rsidRDefault="280C4FF2" w14:paraId="54E3D47D" w14:textId="15669487">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Effectively integrates all required course materials + student interviews; quotes are meaningful and well-contextualized</w:t>
            </w:r>
          </w:p>
        </w:tc>
        <w:tc>
          <w:tcPr>
            <w:tcW w:w="2120" w:type="dxa"/>
            <w:tcMar/>
            <w:vAlign w:val="center"/>
          </w:tcPr>
          <w:p w:rsidR="280C4FF2" w:rsidP="037A4F1E" w:rsidRDefault="280C4FF2" w14:paraId="7EDD85B0" w14:textId="50922D2B">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Most sources used; some quotes not well explained or integrated</w:t>
            </w:r>
          </w:p>
        </w:tc>
        <w:tc>
          <w:tcPr>
            <w:tcW w:w="1562" w:type="dxa"/>
            <w:tcMar/>
            <w:vAlign w:val="center"/>
          </w:tcPr>
          <w:p w:rsidR="280C4FF2" w:rsidP="037A4F1E" w:rsidRDefault="280C4FF2" w14:paraId="4C465252" w14:textId="2AF627DB">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Some required sources missing; integration lacks depth</w:t>
            </w:r>
          </w:p>
        </w:tc>
        <w:tc>
          <w:tcPr>
            <w:tcW w:w="1795" w:type="dxa"/>
            <w:tcMar/>
            <w:vAlign w:val="center"/>
          </w:tcPr>
          <w:p w:rsidR="280C4FF2" w:rsidP="037A4F1E" w:rsidRDefault="280C4FF2" w14:paraId="7DC7F40C" w14:textId="51582E79">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Few or no sources used; little connection to readings or oral histories</w:t>
            </w:r>
          </w:p>
        </w:tc>
      </w:tr>
      <w:tr w:rsidR="280C4FF2" w:rsidTr="302D8827" w14:paraId="2C52FC4A">
        <w:trPr>
          <w:trHeight w:val="300"/>
        </w:trPr>
        <w:tc>
          <w:tcPr>
            <w:tcW w:w="1395" w:type="dxa"/>
            <w:tcMar/>
            <w:vAlign w:val="center"/>
          </w:tcPr>
          <w:p w:rsidR="280C4FF2" w:rsidP="302D8827" w:rsidRDefault="280C4FF2" w14:paraId="038AB2A1" w14:textId="6095D9AB">
            <w:pPr>
              <w:spacing w:before="0" w:beforeAutospacing="off" w:after="0" w:afterAutospacing="off"/>
              <w:rPr>
                <w:rFonts w:ascii="Garamond" w:hAnsi="Garamond" w:eastAsia="Garamond" w:cs="Garamond"/>
                <w:b w:val="1"/>
                <w:bCs w:val="1"/>
              </w:rPr>
            </w:pPr>
            <w:r w:rsidRPr="302D8827" w:rsidR="302D8827">
              <w:rPr>
                <w:rFonts w:ascii="Garamond" w:hAnsi="Garamond" w:eastAsia="Garamond" w:cs="Garamond"/>
                <w:b w:val="1"/>
                <w:bCs w:val="1"/>
              </w:rPr>
              <w:t xml:space="preserve">Creative &amp; Analytical Depth </w:t>
            </w:r>
          </w:p>
          <w:p w:rsidR="280C4FF2" w:rsidP="280C4FF2" w:rsidRDefault="280C4FF2" w14:paraId="5964C2C8" w14:textId="368F471C">
            <w:pPr>
              <w:spacing w:before="0" w:beforeAutospacing="off" w:after="0" w:afterAutospacing="off"/>
              <w:rPr>
                <w:rFonts w:ascii="Garamond" w:hAnsi="Garamond" w:eastAsia="Garamond" w:cs="Garamond"/>
                <w:b w:val="1"/>
                <w:bCs w:val="1"/>
              </w:rPr>
            </w:pPr>
            <w:r w:rsidRPr="302D8827" w:rsidR="302D8827">
              <w:rPr>
                <w:rFonts w:ascii="Garamond" w:hAnsi="Garamond" w:eastAsia="Garamond" w:cs="Garamond"/>
                <w:b w:val="1"/>
                <w:bCs w:val="1"/>
              </w:rPr>
              <w:t>15 points</w:t>
            </w:r>
          </w:p>
        </w:tc>
        <w:tc>
          <w:tcPr>
            <w:tcW w:w="2488" w:type="dxa"/>
            <w:tcMar/>
            <w:vAlign w:val="center"/>
          </w:tcPr>
          <w:p w:rsidR="280C4FF2" w:rsidP="037A4F1E" w:rsidRDefault="280C4FF2" w14:paraId="025D06AA" w14:textId="53CB5AA0">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 xml:space="preserve">Storytelling is rich, imaginative, and grounded in analysis; dialogue or narrative </w:t>
            </w:r>
            <w:r w:rsidRPr="037A4F1E" w:rsidR="037A4F1E">
              <w:rPr>
                <w:rFonts w:ascii="Garamond" w:hAnsi="Garamond" w:eastAsia="Garamond" w:cs="Garamond"/>
                <w:sz w:val="20"/>
                <w:szCs w:val="20"/>
              </w:rPr>
              <w:t>illuminates</w:t>
            </w:r>
            <w:r w:rsidRPr="037A4F1E" w:rsidR="037A4F1E">
              <w:rPr>
                <w:rFonts w:ascii="Garamond" w:hAnsi="Garamond" w:eastAsia="Garamond" w:cs="Garamond"/>
                <w:sz w:val="20"/>
                <w:szCs w:val="20"/>
              </w:rPr>
              <w:t xml:space="preserve"> educational issues</w:t>
            </w:r>
          </w:p>
        </w:tc>
        <w:tc>
          <w:tcPr>
            <w:tcW w:w="2120" w:type="dxa"/>
            <w:tcMar/>
            <w:vAlign w:val="center"/>
          </w:tcPr>
          <w:p w:rsidR="280C4FF2" w:rsidP="037A4F1E" w:rsidRDefault="280C4FF2" w14:paraId="1B03600C" w14:textId="16DDEC76">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Good creative effort with some strong analysis; some moments underdeveloped</w:t>
            </w:r>
          </w:p>
        </w:tc>
        <w:tc>
          <w:tcPr>
            <w:tcW w:w="1562" w:type="dxa"/>
            <w:tcMar/>
            <w:vAlign w:val="center"/>
          </w:tcPr>
          <w:p w:rsidR="280C4FF2" w:rsidP="037A4F1E" w:rsidRDefault="280C4FF2" w14:paraId="5794C5BC" w14:textId="6CF9115A">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Limited creativity or analytical depth; conversation lacks complexity</w:t>
            </w:r>
          </w:p>
        </w:tc>
        <w:tc>
          <w:tcPr>
            <w:tcW w:w="1795" w:type="dxa"/>
            <w:tcMar/>
            <w:vAlign w:val="center"/>
          </w:tcPr>
          <w:p w:rsidR="280C4FF2" w:rsidP="037A4F1E" w:rsidRDefault="280C4FF2" w14:paraId="0ABF30B8" w14:textId="0AD2432A">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Lacks creativity and/or analysis; unclear or shallow narrative</w:t>
            </w:r>
          </w:p>
        </w:tc>
      </w:tr>
      <w:tr w:rsidR="280C4FF2" w:rsidTr="302D8827" w14:paraId="7E0D84C2">
        <w:trPr>
          <w:trHeight w:val="300"/>
        </w:trPr>
        <w:tc>
          <w:tcPr>
            <w:tcW w:w="1395" w:type="dxa"/>
            <w:tcMar/>
            <w:vAlign w:val="center"/>
          </w:tcPr>
          <w:p w:rsidR="280C4FF2" w:rsidP="302D8827" w:rsidRDefault="280C4FF2" w14:paraId="40236730" w14:textId="7A0A756A">
            <w:pPr>
              <w:spacing w:before="0" w:beforeAutospacing="off" w:after="0" w:afterAutospacing="off"/>
              <w:rPr>
                <w:rFonts w:ascii="Garamond" w:hAnsi="Garamond" w:eastAsia="Garamond" w:cs="Garamond"/>
                <w:b w:val="1"/>
                <w:bCs w:val="1"/>
              </w:rPr>
            </w:pPr>
            <w:r w:rsidRPr="302D8827" w:rsidR="302D8827">
              <w:rPr>
                <w:rFonts w:ascii="Garamond" w:hAnsi="Garamond" w:eastAsia="Garamond" w:cs="Garamond"/>
                <w:b w:val="1"/>
                <w:bCs w:val="1"/>
              </w:rPr>
              <w:t xml:space="preserve">Connection to Educational Theme </w:t>
            </w:r>
          </w:p>
          <w:p w:rsidR="280C4FF2" w:rsidP="280C4FF2" w:rsidRDefault="280C4FF2" w14:paraId="12207A8C" w14:textId="4672D920">
            <w:pPr>
              <w:spacing w:before="0" w:beforeAutospacing="off" w:after="0" w:afterAutospacing="off"/>
              <w:rPr>
                <w:rFonts w:ascii="Garamond" w:hAnsi="Garamond" w:eastAsia="Garamond" w:cs="Garamond"/>
                <w:b w:val="1"/>
                <w:bCs w:val="1"/>
              </w:rPr>
            </w:pPr>
            <w:r w:rsidRPr="302D8827" w:rsidR="302D8827">
              <w:rPr>
                <w:rFonts w:ascii="Garamond" w:hAnsi="Garamond" w:eastAsia="Garamond" w:cs="Garamond"/>
                <w:b w:val="1"/>
                <w:bCs w:val="1"/>
              </w:rPr>
              <w:t>25 points</w:t>
            </w:r>
          </w:p>
        </w:tc>
        <w:tc>
          <w:tcPr>
            <w:tcW w:w="2488" w:type="dxa"/>
            <w:tcMar/>
            <w:vAlign w:val="center"/>
          </w:tcPr>
          <w:p w:rsidR="280C4FF2" w:rsidP="037A4F1E" w:rsidRDefault="280C4FF2" w14:paraId="6B6B483C" w14:textId="7782F305">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Central theme is clear, well-developed, and explored from multiple perspectives</w:t>
            </w:r>
          </w:p>
        </w:tc>
        <w:tc>
          <w:tcPr>
            <w:tcW w:w="2120" w:type="dxa"/>
            <w:tcMar/>
            <w:vAlign w:val="center"/>
          </w:tcPr>
          <w:p w:rsidR="280C4FF2" w:rsidP="037A4F1E" w:rsidRDefault="280C4FF2" w14:paraId="042E8BB0" w14:textId="15E4C599">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Theme is present but could be more fully developed or nuanced</w:t>
            </w:r>
          </w:p>
        </w:tc>
        <w:tc>
          <w:tcPr>
            <w:tcW w:w="1562" w:type="dxa"/>
            <w:tcMar/>
            <w:vAlign w:val="center"/>
          </w:tcPr>
          <w:p w:rsidR="280C4FF2" w:rsidP="037A4F1E" w:rsidRDefault="280C4FF2" w14:paraId="18D3F0CF" w14:textId="1ABE18D8">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Theme is mentioned but not explored deeply or clearly</w:t>
            </w:r>
          </w:p>
        </w:tc>
        <w:tc>
          <w:tcPr>
            <w:tcW w:w="1795" w:type="dxa"/>
            <w:tcMar/>
            <w:vAlign w:val="center"/>
          </w:tcPr>
          <w:p w:rsidR="280C4FF2" w:rsidP="037A4F1E" w:rsidRDefault="280C4FF2" w14:paraId="227AFDF5" w14:textId="4EA62E3A">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Theme is vague, missing, or unrelated to project content</w:t>
            </w:r>
          </w:p>
        </w:tc>
      </w:tr>
      <w:tr w:rsidR="280C4FF2" w:rsidTr="302D8827" w14:paraId="168FED8A">
        <w:trPr>
          <w:trHeight w:val="300"/>
        </w:trPr>
        <w:tc>
          <w:tcPr>
            <w:tcW w:w="1395" w:type="dxa"/>
            <w:tcMar/>
            <w:vAlign w:val="center"/>
          </w:tcPr>
          <w:p w:rsidR="280C4FF2" w:rsidP="280C4FF2" w:rsidRDefault="280C4FF2" w14:paraId="4D813E63" w14:textId="34F7317B">
            <w:pPr>
              <w:spacing w:before="0" w:beforeAutospacing="off" w:after="0" w:afterAutospacing="off"/>
              <w:rPr>
                <w:rFonts w:ascii="Garamond" w:hAnsi="Garamond" w:eastAsia="Garamond" w:cs="Garamond"/>
                <w:b w:val="1"/>
                <w:bCs w:val="1"/>
              </w:rPr>
            </w:pPr>
            <w:r w:rsidRPr="037A4F1E" w:rsidR="037A4F1E">
              <w:rPr>
                <w:rFonts w:ascii="Garamond" w:hAnsi="Garamond" w:eastAsia="Garamond" w:cs="Garamond"/>
                <w:b w:val="1"/>
                <w:bCs w:val="1"/>
              </w:rPr>
              <w:t>Speculative Future Vision 10 points</w:t>
            </w:r>
          </w:p>
        </w:tc>
        <w:tc>
          <w:tcPr>
            <w:tcW w:w="2488" w:type="dxa"/>
            <w:tcMar/>
            <w:vAlign w:val="center"/>
          </w:tcPr>
          <w:p w:rsidR="280C4FF2" w:rsidP="037A4F1E" w:rsidRDefault="280C4FF2" w14:paraId="4D5D5705" w14:textId="5A7113E4">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Ending powerfully imagines a compelling, thoughtful future for education</w:t>
            </w:r>
          </w:p>
        </w:tc>
        <w:tc>
          <w:tcPr>
            <w:tcW w:w="2120" w:type="dxa"/>
            <w:tcMar/>
            <w:vAlign w:val="center"/>
          </w:tcPr>
          <w:p w:rsidR="280C4FF2" w:rsidP="037A4F1E" w:rsidRDefault="280C4FF2" w14:paraId="36BAC6F7" w14:textId="1E2AFBB4">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Offers a clear future vision, but could be more specific or creative</w:t>
            </w:r>
          </w:p>
        </w:tc>
        <w:tc>
          <w:tcPr>
            <w:tcW w:w="1562" w:type="dxa"/>
            <w:tcMar/>
            <w:vAlign w:val="center"/>
          </w:tcPr>
          <w:p w:rsidR="280C4FF2" w:rsidP="037A4F1E" w:rsidRDefault="280C4FF2" w14:paraId="77D16A8A" w14:textId="2F466BCC">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Future vision is vague, simplistic, or disconnected</w:t>
            </w:r>
          </w:p>
        </w:tc>
        <w:tc>
          <w:tcPr>
            <w:tcW w:w="1795" w:type="dxa"/>
            <w:tcMar/>
            <w:vAlign w:val="center"/>
          </w:tcPr>
          <w:p w:rsidR="280C4FF2" w:rsidP="037A4F1E" w:rsidRDefault="280C4FF2" w14:paraId="0C8FA5F4" w14:textId="2434209F">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Little or no future vision offered</w:t>
            </w:r>
          </w:p>
        </w:tc>
      </w:tr>
      <w:tr w:rsidR="280C4FF2" w:rsidTr="302D8827" w14:paraId="3B4232A8">
        <w:trPr>
          <w:trHeight w:val="300"/>
        </w:trPr>
        <w:tc>
          <w:tcPr>
            <w:tcW w:w="1395" w:type="dxa"/>
            <w:tcMar/>
            <w:vAlign w:val="center"/>
          </w:tcPr>
          <w:p w:rsidR="280C4FF2" w:rsidP="280C4FF2" w:rsidRDefault="280C4FF2" w14:paraId="28BE4BE6" w14:textId="6670A326">
            <w:pPr>
              <w:spacing w:before="0" w:beforeAutospacing="off" w:after="0" w:afterAutospacing="off"/>
              <w:rPr>
                <w:rFonts w:ascii="Garamond" w:hAnsi="Garamond" w:eastAsia="Garamond" w:cs="Garamond"/>
                <w:b w:val="1"/>
                <w:bCs w:val="1"/>
              </w:rPr>
            </w:pPr>
            <w:r w:rsidRPr="037A4F1E" w:rsidR="037A4F1E">
              <w:rPr>
                <w:rFonts w:ascii="Garamond" w:hAnsi="Garamond" w:eastAsia="Garamond" w:cs="Garamond"/>
                <w:b w:val="1"/>
                <w:bCs w:val="1"/>
              </w:rPr>
              <w:t>Organization &amp; Writing 10 points</w:t>
            </w:r>
          </w:p>
        </w:tc>
        <w:tc>
          <w:tcPr>
            <w:tcW w:w="2488" w:type="dxa"/>
            <w:tcMar/>
            <w:vAlign w:val="center"/>
          </w:tcPr>
          <w:p w:rsidR="280C4FF2" w:rsidP="037A4F1E" w:rsidRDefault="280C4FF2" w14:paraId="5756DF5B" w14:textId="2670E2E9">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Well-organized, clear, polished writing or scripting; smooth flow and transitions</w:t>
            </w:r>
          </w:p>
        </w:tc>
        <w:tc>
          <w:tcPr>
            <w:tcW w:w="2120" w:type="dxa"/>
            <w:tcMar/>
            <w:vAlign w:val="center"/>
          </w:tcPr>
          <w:p w:rsidR="280C4FF2" w:rsidP="037A4F1E" w:rsidRDefault="280C4FF2" w14:paraId="158EE25A" w14:textId="412FE23B">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Clear writing with minor errors or awkward moments</w:t>
            </w:r>
          </w:p>
        </w:tc>
        <w:tc>
          <w:tcPr>
            <w:tcW w:w="1562" w:type="dxa"/>
            <w:tcMar/>
            <w:vAlign w:val="center"/>
          </w:tcPr>
          <w:p w:rsidR="280C4FF2" w:rsidP="037A4F1E" w:rsidRDefault="280C4FF2" w14:paraId="1A08AFF5" w14:textId="107182AA">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Some disorganization or grammar issues; hard to follow in parts</w:t>
            </w:r>
          </w:p>
        </w:tc>
        <w:tc>
          <w:tcPr>
            <w:tcW w:w="1795" w:type="dxa"/>
            <w:tcMar/>
            <w:vAlign w:val="center"/>
          </w:tcPr>
          <w:p w:rsidR="280C4FF2" w:rsidP="037A4F1E" w:rsidRDefault="280C4FF2" w14:paraId="0564F763" w14:textId="653A2802">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Disorganized or unclear writing; major grammar issues interfere with understanding</w:t>
            </w:r>
          </w:p>
        </w:tc>
      </w:tr>
      <w:tr w:rsidR="280C4FF2" w:rsidTr="302D8827" w14:paraId="6A932D8E">
        <w:trPr>
          <w:trHeight w:val="300"/>
        </w:trPr>
        <w:tc>
          <w:tcPr>
            <w:tcW w:w="1395" w:type="dxa"/>
            <w:tcMar/>
            <w:vAlign w:val="center"/>
          </w:tcPr>
          <w:p w:rsidR="280C4FF2" w:rsidP="280C4FF2" w:rsidRDefault="280C4FF2" w14:paraId="4B74AE79" w14:textId="76D8BFA6">
            <w:pPr>
              <w:spacing w:before="0" w:beforeAutospacing="off" w:after="0" w:afterAutospacing="off"/>
              <w:rPr>
                <w:rFonts w:ascii="Garamond" w:hAnsi="Garamond" w:eastAsia="Garamond" w:cs="Garamond"/>
                <w:b w:val="1"/>
                <w:bCs w:val="1"/>
              </w:rPr>
            </w:pPr>
            <w:r w:rsidRPr="037A4F1E" w:rsidR="037A4F1E">
              <w:rPr>
                <w:rFonts w:ascii="Garamond" w:hAnsi="Garamond" w:eastAsia="Garamond" w:cs="Garamond"/>
                <w:b w:val="1"/>
                <w:bCs w:val="1"/>
              </w:rPr>
              <w:t>Formatting &amp; Citations 10 points</w:t>
            </w:r>
          </w:p>
        </w:tc>
        <w:tc>
          <w:tcPr>
            <w:tcW w:w="2488" w:type="dxa"/>
            <w:tcMar/>
            <w:vAlign w:val="center"/>
          </w:tcPr>
          <w:p w:rsidR="280C4FF2" w:rsidP="037A4F1E" w:rsidRDefault="280C4FF2" w14:paraId="0F40AFB7" w14:textId="3C900578">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Meets all formatting requirements; APA citations complete and correct</w:t>
            </w:r>
          </w:p>
        </w:tc>
        <w:tc>
          <w:tcPr>
            <w:tcW w:w="2120" w:type="dxa"/>
            <w:tcMar/>
            <w:vAlign w:val="center"/>
          </w:tcPr>
          <w:p w:rsidR="280C4FF2" w:rsidP="037A4F1E" w:rsidRDefault="280C4FF2" w14:paraId="00E5E313" w14:textId="521B5FC8">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Mostly correct formatting and citation; minor errors</w:t>
            </w:r>
          </w:p>
        </w:tc>
        <w:tc>
          <w:tcPr>
            <w:tcW w:w="1562" w:type="dxa"/>
            <w:tcMar/>
            <w:vAlign w:val="center"/>
          </w:tcPr>
          <w:p w:rsidR="280C4FF2" w:rsidP="037A4F1E" w:rsidRDefault="280C4FF2" w14:paraId="494BD463" w14:textId="04762129">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Some formatting issues; citations incomplete or inconsistent</w:t>
            </w:r>
          </w:p>
        </w:tc>
        <w:tc>
          <w:tcPr>
            <w:tcW w:w="1795" w:type="dxa"/>
            <w:tcMar/>
            <w:vAlign w:val="center"/>
          </w:tcPr>
          <w:p w:rsidR="280C4FF2" w:rsidP="037A4F1E" w:rsidRDefault="280C4FF2" w14:paraId="1756C639" w14:textId="588B66BF">
            <w:pPr>
              <w:spacing w:before="0" w:beforeAutospacing="off" w:after="0" w:afterAutospacing="off"/>
              <w:rPr>
                <w:rFonts w:ascii="Garamond" w:hAnsi="Garamond" w:eastAsia="Garamond" w:cs="Garamond"/>
                <w:sz w:val="20"/>
                <w:szCs w:val="20"/>
              </w:rPr>
            </w:pPr>
            <w:r w:rsidRPr="037A4F1E" w:rsidR="037A4F1E">
              <w:rPr>
                <w:rFonts w:ascii="Garamond" w:hAnsi="Garamond" w:eastAsia="Garamond" w:cs="Garamond"/>
                <w:sz w:val="20"/>
                <w:szCs w:val="20"/>
              </w:rPr>
              <w:t xml:space="preserve">Major formatting errors; citations </w:t>
            </w:r>
            <w:r w:rsidRPr="037A4F1E" w:rsidR="037A4F1E">
              <w:rPr>
                <w:rFonts w:ascii="Garamond" w:hAnsi="Garamond" w:eastAsia="Garamond" w:cs="Garamond"/>
                <w:sz w:val="20"/>
                <w:szCs w:val="20"/>
              </w:rPr>
              <w:t>largely missing</w:t>
            </w:r>
            <w:r w:rsidRPr="037A4F1E" w:rsidR="037A4F1E">
              <w:rPr>
                <w:rFonts w:ascii="Garamond" w:hAnsi="Garamond" w:eastAsia="Garamond" w:cs="Garamond"/>
                <w:sz w:val="20"/>
                <w:szCs w:val="20"/>
              </w:rPr>
              <w:t xml:space="preserve"> or incorrect</w:t>
            </w:r>
          </w:p>
        </w:tc>
      </w:tr>
    </w:tbl>
    <w:p w:rsidR="280C4FF2" w:rsidP="280C4FF2" w:rsidRDefault="280C4FF2" w14:paraId="2F5CE8A6" w14:textId="7B33400E">
      <w:pPr>
        <w:pStyle w:val="Normal"/>
        <w:spacing w:before="240" w:beforeAutospacing="off" w:after="240" w:afterAutospacing="off"/>
        <w:jc w:val="left"/>
        <w:rPr>
          <w:noProof w:val="0"/>
          <w:sz w:val="22"/>
          <w:szCs w:val="22"/>
          <w:lang w:val="en-US"/>
        </w:rPr>
      </w:pPr>
    </w:p>
    <w:p w:rsidR="280C4FF2" w:rsidP="280C4FF2" w:rsidRDefault="280C4FF2" w14:paraId="2AA347E0" w14:textId="04A83CC3">
      <w:pPr>
        <w:pStyle w:val="Normal"/>
        <w:spacing w:before="240" w:beforeAutospacing="off" w:after="240" w:afterAutospacing="off"/>
        <w:jc w:val="left"/>
        <w:rPr>
          <w:rFonts w:ascii="Garamond" w:hAnsi="Garamond" w:eastAsia="Garamond" w:cs="Garamond"/>
          <w:noProof w:val="0"/>
          <w:sz w:val="22"/>
          <w:szCs w:val="22"/>
          <w:lang w:val="en-US"/>
        </w:rPr>
      </w:pPr>
    </w:p>
    <w:p w:rsidR="78D902D3" w:rsidP="78D902D3" w:rsidRDefault="78D902D3" w14:paraId="79B0C8E8" w14:textId="09CC6DEC">
      <w:pPr>
        <w:spacing w:before="240" w:beforeAutospacing="off" w:after="240" w:afterAutospacing="off"/>
        <w:jc w:val="left"/>
        <w:rPr>
          <w:rFonts w:ascii="Garamond" w:hAnsi="Garamond" w:eastAsia="Garamond" w:cs="Garamond"/>
          <w:noProof w:val="0"/>
          <w:sz w:val="24"/>
          <w:szCs w:val="24"/>
          <w:lang w:val="en-US"/>
        </w:rPr>
      </w:pPr>
    </w:p>
    <w:p w:rsidR="78D902D3" w:rsidP="78D902D3" w:rsidRDefault="78D902D3" w14:paraId="66B56451" w14:textId="0F26952C">
      <w:pPr>
        <w:spacing w:before="240" w:beforeAutospacing="off" w:after="240" w:afterAutospacing="off"/>
        <w:jc w:val="left"/>
        <w:rPr>
          <w:rFonts w:ascii="Garamond" w:hAnsi="Garamond" w:eastAsia="Garamond" w:cs="Garamond"/>
          <w:noProof w:val="0"/>
          <w:sz w:val="24"/>
          <w:szCs w:val="24"/>
          <w:lang w:val="en-US"/>
        </w:rPr>
      </w:pPr>
    </w:p>
    <w:p w:rsidR="78D902D3" w:rsidP="78D902D3" w:rsidRDefault="78D902D3" w14:paraId="764FFA93" w14:textId="681AB43E">
      <w:pPr>
        <w:spacing w:before="240" w:beforeAutospacing="off" w:after="240" w:afterAutospacing="off"/>
        <w:jc w:val="left"/>
        <w:rPr>
          <w:rFonts w:ascii="Garamond" w:hAnsi="Garamond" w:eastAsia="Garamond" w:cs="Garamond"/>
          <w:noProof w:val="0"/>
          <w:sz w:val="24"/>
          <w:szCs w:val="24"/>
          <w:lang w:val="en-US"/>
        </w:rPr>
      </w:pPr>
    </w:p>
    <w:p w:rsidR="6B7B183F" w:rsidP="6B7B183F" w:rsidRDefault="6B7B183F" w14:paraId="40BAAD12" w14:textId="53FC45FE">
      <w:pPr>
        <w:pStyle w:val="Normal"/>
        <w:jc w:val="left"/>
        <w:rPr>
          <w:rFonts w:ascii="Garamond" w:hAnsi="Garamond" w:eastAsia="Garamond" w:cs="Garamond"/>
          <w:b w:val="1"/>
          <w:bCs w:val="1"/>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24ef0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ee473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cd975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9784f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3ba85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b1052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0bc40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8355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bf7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A5759B"/>
    <w:rsid w:val="037A4F1E"/>
    <w:rsid w:val="1F1EA6A7"/>
    <w:rsid w:val="26CF70D5"/>
    <w:rsid w:val="280C4FF2"/>
    <w:rsid w:val="302D8827"/>
    <w:rsid w:val="3D894F58"/>
    <w:rsid w:val="45B5F39F"/>
    <w:rsid w:val="5A00B97F"/>
    <w:rsid w:val="5DE2655D"/>
    <w:rsid w:val="62A5759B"/>
    <w:rsid w:val="6B7B183F"/>
    <w:rsid w:val="78D902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5759B"/>
  <w15:chartTrackingRefBased/>
  <w15:docId w15:val="{00E657FC-7C27-448C-927F-27B877AAD0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e2c071acabc5406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file>