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18"/>
        <w:gridCol w:w="881"/>
        <w:gridCol w:w="312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24" w:hRule="atLeast"/>
        </w:trPr>
        <w:tc>
          <w:tcPr>
            <w:tcW w:w="5000" w:type="pct"/>
            <w:gridSpan w:val="3"/>
            <w:vMerge w:val="restart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color w:val="auto"/>
                <w:kern w:val="0"/>
                <w:sz w:val="36"/>
                <w:szCs w:val="36"/>
              </w:rPr>
            </w:pPr>
            <w:bookmarkStart w:id="0" w:name="_GoBack"/>
            <w:r>
              <w:rPr>
                <w:rFonts w:hint="eastAsia" w:ascii="Times New Roman" w:hAnsi="Times New Roman"/>
                <w:b/>
                <w:bCs/>
                <w:color w:val="auto"/>
                <w:kern w:val="0"/>
                <w:sz w:val="36"/>
                <w:szCs w:val="36"/>
                <w:lang w:val="en-US" w:eastAsia="zh-CN"/>
              </w:rPr>
              <w:t>GYR162</w:t>
            </w:r>
            <w:r>
              <w:rPr>
                <w:rFonts w:ascii="Times New Roman" w:hAnsi="Times New Roman"/>
                <w:b/>
                <w:bCs/>
                <w:color w:val="auto"/>
                <w:kern w:val="0"/>
                <w:sz w:val="36"/>
                <w:szCs w:val="36"/>
              </w:rPr>
              <w:t xml:space="preserve">  Hydraulic Pneumatic Tire Roller</w:t>
            </w:r>
          </w:p>
          <w:bookmarkEnd w:id="0"/>
          <w:p>
            <w:pPr>
              <w:widowControl/>
              <w:jc w:val="center"/>
              <w:rPr>
                <w:rFonts w:hint="eastAsia" w:ascii="Times New Roman" w:hAnsi="Times New Roman" w:eastAsia="宋体"/>
                <w:b/>
                <w:bCs/>
                <w:color w:val="auto"/>
                <w:kern w:val="0"/>
                <w:sz w:val="44"/>
                <w:szCs w:val="44"/>
                <w:lang w:eastAsia="zh-CN"/>
              </w:rPr>
            </w:pPr>
            <w:r>
              <w:rPr>
                <w:rFonts w:hint="eastAsia" w:ascii="Times New Roman" w:hAnsi="Times New Roman" w:eastAsia="宋体"/>
                <w:b/>
                <w:bCs/>
                <w:color w:val="auto"/>
                <w:kern w:val="0"/>
                <w:sz w:val="44"/>
                <w:szCs w:val="44"/>
                <w:lang w:eastAsia="zh-CN"/>
              </w:rPr>
              <w:drawing>
                <wp:inline distT="0" distB="0" distL="114300" distR="114300">
                  <wp:extent cx="5274310" cy="3954145"/>
                  <wp:effectExtent l="0" t="0" r="8890" b="8255"/>
                  <wp:docPr id="4" name="图片 2" descr="4095a4190d716b7f506968770a746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2" descr="4095a4190d716b7f506968770a74610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4310" cy="395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24" w:hRule="atLeast"/>
        </w:trPr>
        <w:tc>
          <w:tcPr>
            <w:tcW w:w="5000" w:type="pct"/>
            <w:gridSpan w:val="3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b/>
                <w:bCs/>
                <w:color w:val="auto"/>
                <w:kern w:val="0"/>
                <w:sz w:val="44"/>
                <w:szCs w:val="4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24" w:hRule="atLeast"/>
        </w:trPr>
        <w:tc>
          <w:tcPr>
            <w:tcW w:w="5000" w:type="pct"/>
            <w:gridSpan w:val="3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b/>
                <w:bCs/>
                <w:color w:val="auto"/>
                <w:kern w:val="0"/>
                <w:sz w:val="44"/>
                <w:szCs w:val="4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24" w:hRule="atLeast"/>
        </w:trPr>
        <w:tc>
          <w:tcPr>
            <w:tcW w:w="5000" w:type="pct"/>
            <w:gridSpan w:val="3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b/>
                <w:bCs/>
                <w:color w:val="auto"/>
                <w:kern w:val="0"/>
                <w:sz w:val="44"/>
                <w:szCs w:val="4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24" w:hRule="atLeast"/>
        </w:trPr>
        <w:tc>
          <w:tcPr>
            <w:tcW w:w="5000" w:type="pct"/>
            <w:gridSpan w:val="3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b/>
                <w:bCs/>
                <w:color w:val="auto"/>
                <w:kern w:val="0"/>
                <w:sz w:val="44"/>
                <w:szCs w:val="4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5" w:hRule="atLeast"/>
        </w:trPr>
        <w:tc>
          <w:tcPr>
            <w:tcW w:w="5000" w:type="pct"/>
            <w:gridSpan w:val="3"/>
            <w:shd w:val="clear" w:color="auto" w:fill="auto"/>
            <w:noWrap w:val="0"/>
            <w:vAlign w:val="center"/>
          </w:tcPr>
          <w:p>
            <w:pPr>
              <w:widowControl/>
              <w:spacing w:after="240"/>
              <w:jc w:val="left"/>
              <w:rPr>
                <w:rFonts w:ascii="Times New Roman" w:hAnsi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GYR162 </w:t>
            </w:r>
            <w:r>
              <w:rPr>
                <w:rFonts w:ascii="Times New Roman" w:hAnsi="Times New Roman"/>
                <w:color w:val="auto"/>
                <w:kern w:val="0"/>
                <w:sz w:val="24"/>
                <w:szCs w:val="24"/>
              </w:rPr>
              <w:t xml:space="preserve">Pneumatic tire roller series are designed for the compact cohesive and non-cohesive materials, such as asphalt concrete, cement or lime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15" w:hRule="atLeast"/>
        </w:trPr>
        <w:tc>
          <w:tcPr>
            <w:tcW w:w="5000" w:type="pct"/>
            <w:gridSpan w:val="3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kern w:val="0"/>
                <w:sz w:val="24"/>
                <w:szCs w:val="24"/>
              </w:rPr>
              <w:t xml:space="preserve">stabilized soils, gravels, sands and clay mixtures, Rolling Cement Concrete(PCC)in the construction projects, especially suitable for the preparation of the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15" w:hRule="atLeast"/>
        </w:trPr>
        <w:tc>
          <w:tcPr>
            <w:tcW w:w="5000" w:type="pct"/>
            <w:gridSpan w:val="3"/>
            <w:shd w:val="clear" w:color="auto" w:fill="auto"/>
            <w:noWrap w:val="0"/>
            <w:vAlign w:val="center"/>
          </w:tcPr>
          <w:p>
            <w:pPr>
              <w:widowControl/>
              <w:spacing w:after="240"/>
              <w:jc w:val="left"/>
              <w:rPr>
                <w:rFonts w:ascii="Times New Roman" w:hAnsi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kern w:val="0"/>
                <w:sz w:val="24"/>
                <w:szCs w:val="24"/>
              </w:rPr>
              <w:t>upper courses of high grade highway.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15" w:hRule="atLeast"/>
        </w:trPr>
        <w:tc>
          <w:tcPr>
            <w:tcW w:w="5000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auto"/>
                <w:kern w:val="0"/>
                <w:sz w:val="24"/>
                <w:szCs w:val="24"/>
              </w:rPr>
              <w:t>Main Features: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15" w:hRule="atLeast"/>
        </w:trPr>
        <w:tc>
          <w:tcPr>
            <w:tcW w:w="5000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auto"/>
                <w:kern w:val="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auto"/>
                <w:kern w:val="0"/>
                <w:sz w:val="24"/>
                <w:szCs w:val="24"/>
              </w:rPr>
              <w:t>,</w:t>
            </w:r>
            <w:r>
              <w:rPr>
                <w:rFonts w:hint="eastAsia" w:ascii="Times New Roman" w:hAnsi="Times New Roman"/>
                <w:color w:val="auto"/>
                <w:kern w:val="0"/>
                <w:sz w:val="24"/>
                <w:szCs w:val="24"/>
                <w:lang w:val="en-US" w:eastAsia="zh-CN"/>
              </w:rPr>
              <w:t>GYR162</w:t>
            </w:r>
            <w:r>
              <w:rPr>
                <w:rFonts w:ascii="Times New Roman" w:hAnsi="Times New Roman"/>
                <w:color w:val="auto"/>
                <w:kern w:val="0"/>
                <w:sz w:val="24"/>
                <w:szCs w:val="24"/>
              </w:rPr>
              <w:t xml:space="preserve"> low gravitational center designed for safe and comfortable operation.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15" w:hRule="atLeast"/>
        </w:trPr>
        <w:tc>
          <w:tcPr>
            <w:tcW w:w="5000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auto"/>
                <w:kern w:val="0"/>
                <w:sz w:val="24"/>
                <w:szCs w:val="24"/>
              </w:rPr>
              <w:t>2,</w:t>
            </w:r>
            <w:r>
              <w:rPr>
                <w:rFonts w:ascii="Times New Roman" w:hAnsi="Times New Roman"/>
                <w:color w:val="auto"/>
                <w:kern w:val="0"/>
                <w:sz w:val="24"/>
                <w:szCs w:val="24"/>
              </w:rPr>
              <w:t xml:space="preserve">With step-less speed changes </w:t>
            </w:r>
            <w:r>
              <w:rPr>
                <w:rFonts w:hint="eastAsia" w:ascii="Times New Roman" w:hAnsi="Times New Roman"/>
                <w:color w:val="auto"/>
                <w:kern w:val="0"/>
                <w:sz w:val="24"/>
                <w:szCs w:val="24"/>
                <w:lang w:val="en-US" w:eastAsia="zh-CN"/>
              </w:rPr>
              <w:t>GYR162</w:t>
            </w:r>
            <w:r>
              <w:rPr>
                <w:rFonts w:ascii="Times New Roman" w:hAnsi="Times New Roman"/>
                <w:color w:val="auto"/>
                <w:kern w:val="0"/>
                <w:sz w:val="24"/>
                <w:szCs w:val="24"/>
              </w:rPr>
              <w:t xml:space="preserve"> is easy and reliable to operate.. Glass fiber reinforced plastic spraying box and mufti-layer water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15" w:hRule="atLeast"/>
        </w:trPr>
        <w:tc>
          <w:tcPr>
            <w:tcW w:w="5000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auto"/>
                <w:kern w:val="0"/>
                <w:sz w:val="24"/>
                <w:szCs w:val="24"/>
              </w:rPr>
              <w:t>3,</w:t>
            </w:r>
            <w:r>
              <w:rPr>
                <w:rFonts w:ascii="Times New Roman" w:hAnsi="Times New Roman"/>
                <w:color w:val="auto"/>
                <w:kern w:val="0"/>
                <w:sz w:val="24"/>
                <w:szCs w:val="24"/>
              </w:rPr>
              <w:t>filter ensure the stability of the system.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15" w:hRule="atLeast"/>
        </w:trPr>
        <w:tc>
          <w:tcPr>
            <w:tcW w:w="5000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auto"/>
                <w:kern w:val="0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color w:val="auto"/>
                <w:kern w:val="0"/>
                <w:sz w:val="24"/>
                <w:szCs w:val="24"/>
              </w:rPr>
              <w:t>,Power strength,</w:t>
            </w:r>
            <w:r>
              <w:rPr>
                <w:rFonts w:hint="eastAsia" w:ascii="Times New Roman" w:hAnsi="Times New Roman"/>
                <w:color w:val="auto"/>
                <w:kern w:val="0"/>
                <w:sz w:val="24"/>
                <w:szCs w:val="24"/>
                <w:lang w:val="en-US" w:eastAsia="zh-CN"/>
              </w:rPr>
              <w:t>GYR162</w:t>
            </w:r>
            <w:r>
              <w:rPr>
                <w:rFonts w:ascii="Times New Roman" w:hAnsi="Times New Roman"/>
                <w:color w:val="auto"/>
                <w:kern w:val="0"/>
                <w:sz w:val="24"/>
                <w:szCs w:val="24"/>
              </w:rPr>
              <w:t>which adopted 4BT Cummins engine, is suitable to all environments.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15" w:hRule="atLeast"/>
        </w:trPr>
        <w:tc>
          <w:tcPr>
            <w:tcW w:w="5000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auto"/>
                <w:kern w:val="0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auto"/>
                <w:kern w:val="0"/>
                <w:sz w:val="24"/>
                <w:szCs w:val="24"/>
              </w:rPr>
              <w:t>,Front wheel with automatic adjusting Heating structure to perform better compactness.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350" w:hRule="atLeast"/>
        </w:trPr>
        <w:tc>
          <w:tcPr>
            <w:tcW w:w="2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Model</w:t>
            </w: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GYR162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310" w:hRule="atLeast"/>
        </w:trPr>
        <w:tc>
          <w:tcPr>
            <w:tcW w:w="264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Operating mass</w:t>
            </w:r>
          </w:p>
        </w:tc>
        <w:tc>
          <w:tcPr>
            <w:tcW w:w="516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kg</w:t>
            </w:r>
          </w:p>
        </w:tc>
        <w:tc>
          <w:tcPr>
            <w:tcW w:w="1834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10000-16000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310" w:hRule="atLeast"/>
        </w:trPr>
        <w:tc>
          <w:tcPr>
            <w:tcW w:w="2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Max Travel apeed</w:t>
            </w: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Km/h</w:t>
            </w:r>
          </w:p>
        </w:tc>
        <w:tc>
          <w:tcPr>
            <w:tcW w:w="18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0-14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310" w:hRule="atLeast"/>
        </w:trPr>
        <w:tc>
          <w:tcPr>
            <w:tcW w:w="2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Tire quantity (Front+Rear)</w:t>
            </w: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4+5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310" w:hRule="atLeast"/>
        </w:trPr>
        <w:tc>
          <w:tcPr>
            <w:tcW w:w="2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Tire seize</w:t>
            </w: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11.0-20-16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310" w:hRule="atLeast"/>
        </w:trPr>
        <w:tc>
          <w:tcPr>
            <w:tcW w:w="2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Wheel rim seize</w:t>
            </w: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8.00V-20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310" w:hRule="atLeast"/>
        </w:trPr>
        <w:tc>
          <w:tcPr>
            <w:tcW w:w="2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Minimum Turning radius</w:t>
            </w: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mm</w:t>
            </w:r>
          </w:p>
        </w:tc>
        <w:tc>
          <w:tcPr>
            <w:tcW w:w="18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310" w:hRule="atLeast"/>
        </w:trPr>
        <w:tc>
          <w:tcPr>
            <w:tcW w:w="2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Rolling compaction width</w:t>
            </w: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mm</w:t>
            </w:r>
          </w:p>
        </w:tc>
        <w:tc>
          <w:tcPr>
            <w:tcW w:w="18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310" w:hRule="atLeast"/>
        </w:trPr>
        <w:tc>
          <w:tcPr>
            <w:tcW w:w="2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Ground clerance</w:t>
            </w: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mm</w:t>
            </w:r>
          </w:p>
        </w:tc>
        <w:tc>
          <w:tcPr>
            <w:tcW w:w="18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310" w:hRule="atLeast"/>
        </w:trPr>
        <w:tc>
          <w:tcPr>
            <w:tcW w:w="2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Electrial voltage</w:t>
            </w: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</w:t>
            </w:r>
          </w:p>
        </w:tc>
        <w:tc>
          <w:tcPr>
            <w:tcW w:w="18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wBefore w:w="0" w:type="auto"/>
          <w:trHeight w:val="310" w:hRule="atLeast"/>
        </w:trPr>
        <w:tc>
          <w:tcPr>
            <w:tcW w:w="2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Grade ability</w:t>
            </w: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%</w:t>
            </w:r>
          </w:p>
        </w:tc>
        <w:tc>
          <w:tcPr>
            <w:tcW w:w="18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310" w:hRule="atLeast"/>
        </w:trPr>
        <w:tc>
          <w:tcPr>
            <w:tcW w:w="2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Overall dimension (LxWxH)</w:t>
            </w: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mm</w:t>
            </w:r>
          </w:p>
        </w:tc>
        <w:tc>
          <w:tcPr>
            <w:tcW w:w="18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4780x2280x3200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310" w:hRule="atLeast"/>
        </w:trPr>
        <w:tc>
          <w:tcPr>
            <w:tcW w:w="2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Wheel base</w:t>
            </w: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mm</w:t>
            </w:r>
          </w:p>
        </w:tc>
        <w:tc>
          <w:tcPr>
            <w:tcW w:w="18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310" w:hRule="atLeast"/>
        </w:trPr>
        <w:tc>
          <w:tcPr>
            <w:tcW w:w="2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Diesel egnine power</w:t>
            </w: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Kw</w:t>
            </w:r>
          </w:p>
        </w:tc>
        <w:tc>
          <w:tcPr>
            <w:tcW w:w="18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75Kw/2200rpm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310" w:hRule="atLeast"/>
        </w:trPr>
        <w:tc>
          <w:tcPr>
            <w:tcW w:w="2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Diesel egnine model</w:t>
            </w: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CUMMINS4BT3.9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310" w:hRule="atLeast"/>
        </w:trPr>
        <w:tc>
          <w:tcPr>
            <w:tcW w:w="2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Fuel tank capacity</w:t>
            </w: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</w:t>
            </w:r>
          </w:p>
        </w:tc>
        <w:tc>
          <w:tcPr>
            <w:tcW w:w="18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660" w:hRule="atLeast"/>
        </w:trPr>
        <w:tc>
          <w:tcPr>
            <w:tcW w:w="2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Hydraulic tank capacity</w:t>
            </w: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</w:t>
            </w:r>
          </w:p>
        </w:tc>
        <w:tc>
          <w:tcPr>
            <w:tcW w:w="18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</w:tr>
    </w:tbl>
    <w:p>
      <w:pPr>
        <w:rPr>
          <w:rFonts w:hint="default" w:ascii="Times New Roman" w:hAnsi="Times New Roman" w:cs="Times New Roman"/>
          <w:color w:val="auto"/>
          <w:sz w:val="28"/>
          <w:szCs w:val="28"/>
        </w:rPr>
      </w:pPr>
    </w:p>
    <w:sectPr>
      <w:headerReference r:id="rId3" w:type="default"/>
      <w:footerReference r:id="rId4" w:type="default"/>
      <w:pgSz w:w="11906" w:h="16838"/>
      <w:pgMar w:top="1361" w:right="1797" w:bottom="1247" w:left="1797" w:header="510" w:footer="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left="-1134" w:leftChars="-540"/>
      <w:jc w:val="right"/>
    </w:pPr>
    <w:r>
      <w:rPr>
        <w:b/>
        <w:bCs/>
      </w:rPr>
      <w:fldChar w:fldCharType="begin"/>
    </w:r>
    <w:r>
      <w:rPr>
        <w:b/>
        <w:bCs/>
      </w:rPr>
      <w:instrText xml:space="preserve">PAGE  \* Arabic  \* MERGEFORMAT</w:instrText>
    </w:r>
    <w:r>
      <w:rPr>
        <w:b/>
        <w:bCs/>
      </w:rPr>
      <w:fldChar w:fldCharType="separate"/>
    </w:r>
    <w:r>
      <w:rPr>
        <w:b/>
        <w:bCs/>
        <w:lang w:val="zh-CN"/>
      </w:rPr>
      <w:t>3</w:t>
    </w:r>
    <w:r>
      <w:rPr>
        <w:b/>
        <w:bCs/>
      </w:rPr>
      <w:fldChar w:fldCharType="end"/>
    </w:r>
    <w:r>
      <w:rPr>
        <w:lang w:val="zh-CN"/>
      </w:rPr>
      <w:t xml:space="preserve"> / </w:t>
    </w:r>
    <w:r>
      <w:fldChar w:fldCharType="begin"/>
    </w:r>
    <w:r>
      <w:instrText xml:space="preserve">NUMPAGES  \* Arabic  \* MERGEFORMAT</w:instrText>
    </w:r>
    <w:r>
      <w:fldChar w:fldCharType="separate"/>
    </w:r>
    <w:r>
      <w:rPr>
        <w:b/>
        <w:bCs/>
        <w:lang w:val="zh-CN"/>
      </w:rPr>
      <w:t>3</w:t>
    </w:r>
    <w:r>
      <w:rPr>
        <w:b/>
        <w:bCs/>
        <w:lang w:val="zh-CN"/>
      </w:rPr>
      <w:fldChar w:fldCharType="end"/>
    </w:r>
    <w:r>
      <w:rPr>
        <w:b/>
        <w:bCs/>
      </w:rPr>
      <w:t xml:space="preserve"> pages</w:t>
    </w:r>
    <w:r>
      <w:drawing>
        <wp:inline distT="0" distB="0" distL="0" distR="0">
          <wp:extent cx="7568565" cy="585470"/>
          <wp:effectExtent l="0" t="0" r="0" b="5080"/>
          <wp:docPr id="3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87388" cy="6027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</w:pPr>
    <w:r>
      <w:rPr>
        <w:color w:val="1D2380"/>
      </w:rPr>
      <w:t xml:space="preserve">                    </w:t>
    </w:r>
    <w: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16510</wp:posOffset>
          </wp:positionH>
          <wp:positionV relativeFrom="paragraph">
            <wp:posOffset>-43815</wp:posOffset>
          </wp:positionV>
          <wp:extent cx="3420745" cy="360680"/>
          <wp:effectExtent l="0" t="0" r="0" b="0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420745" cy="360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7"/>
      <w:pBdr>
        <w:bottom w:val="none" w:color="auto" w:sz="0" w:space="0"/>
      </w:pBdr>
      <w:wordWrap w:val="0"/>
      <w:jc w:val="right"/>
      <w:rPr>
        <w:rFonts w:ascii="Arial" w:hAnsi="Arial" w:cs="Arial"/>
        <w:color w:val="0075C2"/>
        <w:sz w:val="14"/>
        <w:szCs w:val="14"/>
      </w:rPr>
    </w:pPr>
    <w:r>
      <w:rPr>
        <w:rFonts w:ascii="Arial" w:hAnsi="Arial" w:cs="Arial"/>
        <w:color w:val="0075C2"/>
        <w:sz w:val="14"/>
        <w:szCs w:val="14"/>
      </w:rPr>
      <w:t xml:space="preserve">       </w:t>
    </w:r>
  </w:p>
  <w:p>
    <w:pPr>
      <w:pStyle w:val="7"/>
      <w:pBdr>
        <w:bottom w:val="none" w:color="auto" w:sz="0" w:space="0"/>
      </w:pBdr>
      <w:ind w:right="70"/>
      <w:jc w:val="right"/>
    </w:pPr>
    <w:r>
      <w:rPr>
        <w:rFonts w:ascii="Arial" w:hAnsi="Arial" w:cs="Arial"/>
        <w:color w:val="0075C2"/>
        <w:sz w:val="14"/>
        <w:szCs w:val="14"/>
      </w:rPr>
      <w:t xml:space="preserve"> www.sinomach-hi.com</w:t>
    </w:r>
  </w:p>
  <w:p>
    <w:pPr>
      <w:pStyle w:val="7"/>
      <w:jc w:val="left"/>
      <w:rPr>
        <w:color w:val="1D2380"/>
        <w:sz w:val="4"/>
        <w:szCs w:val="4"/>
      </w:rPr>
    </w:pPr>
    <w:r>
      <w:rPr>
        <w:rFonts w:hint="eastAsia"/>
        <w:color w:val="1D2380"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attachedTemplate r:id="rId1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U4MThlNTJlYzA2NjhiMmMzZmIxN2I0MTQ1MGU1YzkifQ=="/>
  </w:docVars>
  <w:rsids>
    <w:rsidRoot w:val="006A45AB"/>
    <w:rsid w:val="0003498F"/>
    <w:rsid w:val="00062E80"/>
    <w:rsid w:val="00070731"/>
    <w:rsid w:val="00081690"/>
    <w:rsid w:val="000A3BD7"/>
    <w:rsid w:val="000A4B59"/>
    <w:rsid w:val="000F7392"/>
    <w:rsid w:val="00157ACB"/>
    <w:rsid w:val="00173666"/>
    <w:rsid w:val="001C0384"/>
    <w:rsid w:val="001E5B47"/>
    <w:rsid w:val="001F723C"/>
    <w:rsid w:val="001F7786"/>
    <w:rsid w:val="00221E2D"/>
    <w:rsid w:val="002E4150"/>
    <w:rsid w:val="002F7DC5"/>
    <w:rsid w:val="00306E5D"/>
    <w:rsid w:val="0034260D"/>
    <w:rsid w:val="00385785"/>
    <w:rsid w:val="00387CB5"/>
    <w:rsid w:val="003D36D8"/>
    <w:rsid w:val="003D389F"/>
    <w:rsid w:val="003F7F7C"/>
    <w:rsid w:val="00401FAC"/>
    <w:rsid w:val="004103C0"/>
    <w:rsid w:val="00451A04"/>
    <w:rsid w:val="00462421"/>
    <w:rsid w:val="00474FB6"/>
    <w:rsid w:val="00480B3B"/>
    <w:rsid w:val="004A0471"/>
    <w:rsid w:val="004B6666"/>
    <w:rsid w:val="004D0051"/>
    <w:rsid w:val="0050153A"/>
    <w:rsid w:val="005111BD"/>
    <w:rsid w:val="00525BDE"/>
    <w:rsid w:val="005327BD"/>
    <w:rsid w:val="00552857"/>
    <w:rsid w:val="00575FF1"/>
    <w:rsid w:val="00582D8B"/>
    <w:rsid w:val="00604E6B"/>
    <w:rsid w:val="006114EE"/>
    <w:rsid w:val="00612923"/>
    <w:rsid w:val="00671E22"/>
    <w:rsid w:val="0068402D"/>
    <w:rsid w:val="006A45AB"/>
    <w:rsid w:val="006A658D"/>
    <w:rsid w:val="00741CBC"/>
    <w:rsid w:val="00747ED2"/>
    <w:rsid w:val="0075291F"/>
    <w:rsid w:val="00754415"/>
    <w:rsid w:val="007D57F0"/>
    <w:rsid w:val="007F3D9D"/>
    <w:rsid w:val="00835AE1"/>
    <w:rsid w:val="00853B29"/>
    <w:rsid w:val="008C3DAB"/>
    <w:rsid w:val="00996BAC"/>
    <w:rsid w:val="00997699"/>
    <w:rsid w:val="009A4E8F"/>
    <w:rsid w:val="009D2F96"/>
    <w:rsid w:val="009D49A9"/>
    <w:rsid w:val="009E7BF9"/>
    <w:rsid w:val="00A53A61"/>
    <w:rsid w:val="00A57058"/>
    <w:rsid w:val="00A678C0"/>
    <w:rsid w:val="00A82470"/>
    <w:rsid w:val="00A87304"/>
    <w:rsid w:val="00AB27D8"/>
    <w:rsid w:val="00AB48F2"/>
    <w:rsid w:val="00AD7ACD"/>
    <w:rsid w:val="00B62646"/>
    <w:rsid w:val="00B659C4"/>
    <w:rsid w:val="00BF54A5"/>
    <w:rsid w:val="00BF5E79"/>
    <w:rsid w:val="00C07BEB"/>
    <w:rsid w:val="00C14CD1"/>
    <w:rsid w:val="00C2170D"/>
    <w:rsid w:val="00C374FD"/>
    <w:rsid w:val="00C46DA3"/>
    <w:rsid w:val="00C602B2"/>
    <w:rsid w:val="00C602E5"/>
    <w:rsid w:val="00C70FEA"/>
    <w:rsid w:val="00C94315"/>
    <w:rsid w:val="00CA05F0"/>
    <w:rsid w:val="00CA1DF7"/>
    <w:rsid w:val="00D15426"/>
    <w:rsid w:val="00D304D9"/>
    <w:rsid w:val="00D35ADE"/>
    <w:rsid w:val="00D73D1D"/>
    <w:rsid w:val="00DA0CCB"/>
    <w:rsid w:val="00DA5F80"/>
    <w:rsid w:val="00E155AA"/>
    <w:rsid w:val="00E31229"/>
    <w:rsid w:val="00E93BA5"/>
    <w:rsid w:val="00EB42D3"/>
    <w:rsid w:val="00EC28EF"/>
    <w:rsid w:val="00EF54A3"/>
    <w:rsid w:val="00F03C47"/>
    <w:rsid w:val="00F13BBA"/>
    <w:rsid w:val="00F3163B"/>
    <w:rsid w:val="00F36952"/>
    <w:rsid w:val="00F43586"/>
    <w:rsid w:val="00FA1498"/>
    <w:rsid w:val="00FA4A43"/>
    <w:rsid w:val="00FC0C34"/>
    <w:rsid w:val="00FC1C8B"/>
    <w:rsid w:val="00FC4470"/>
    <w:rsid w:val="00FD15D4"/>
    <w:rsid w:val="00FD2BE8"/>
    <w:rsid w:val="0A851326"/>
    <w:rsid w:val="13E2520A"/>
    <w:rsid w:val="141F1EA3"/>
    <w:rsid w:val="19FE07AD"/>
    <w:rsid w:val="1BB4561E"/>
    <w:rsid w:val="22F369D5"/>
    <w:rsid w:val="26347A30"/>
    <w:rsid w:val="294361DC"/>
    <w:rsid w:val="2CFC6DCE"/>
    <w:rsid w:val="2D412A32"/>
    <w:rsid w:val="30406FD1"/>
    <w:rsid w:val="35791895"/>
    <w:rsid w:val="359C7AB2"/>
    <w:rsid w:val="36F87F68"/>
    <w:rsid w:val="37335AE2"/>
    <w:rsid w:val="408D6668"/>
    <w:rsid w:val="45AD2F03"/>
    <w:rsid w:val="4A253068"/>
    <w:rsid w:val="4B123BE5"/>
    <w:rsid w:val="53593B01"/>
    <w:rsid w:val="5579775C"/>
    <w:rsid w:val="5A040EEC"/>
    <w:rsid w:val="5D3E4715"/>
    <w:rsid w:val="5F1A4D0E"/>
    <w:rsid w:val="600B7A25"/>
    <w:rsid w:val="6320666B"/>
    <w:rsid w:val="646D1D84"/>
    <w:rsid w:val="69B5638E"/>
    <w:rsid w:val="6FD20CED"/>
    <w:rsid w:val="71A212BE"/>
    <w:rsid w:val="7C2B065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4"/>
    <w:qFormat/>
    <w:uiPriority w:val="0"/>
    <w:rPr>
      <w:rFonts w:eastAsia="楷体_GB2312"/>
      <w:sz w:val="30"/>
      <w:szCs w:val="20"/>
    </w:rPr>
  </w:style>
  <w:style w:type="paragraph" w:styleId="4">
    <w:name w:val="Plain Text"/>
    <w:basedOn w:val="1"/>
    <w:link w:val="19"/>
    <w:qFormat/>
    <w:uiPriority w:val="0"/>
    <w:rPr>
      <w:rFonts w:ascii="宋体" w:hAnsi="Courier New" w:cs="Courier New"/>
    </w:rPr>
  </w:style>
  <w:style w:type="paragraph" w:styleId="5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0">
    <w:name w:val="Hyperlink"/>
    <w:basedOn w:val="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Char"/>
    <w:basedOn w:val="9"/>
    <w:link w:val="7"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6"/>
    <w:qFormat/>
    <w:uiPriority w:val="99"/>
    <w:rPr>
      <w:sz w:val="18"/>
      <w:szCs w:val="18"/>
    </w:rPr>
  </w:style>
  <w:style w:type="character" w:customStyle="1" w:styleId="13">
    <w:name w:val="批注框文本 Char"/>
    <w:basedOn w:val="9"/>
    <w:link w:val="5"/>
    <w:semiHidden/>
    <w:qFormat/>
    <w:uiPriority w:val="99"/>
    <w:rPr>
      <w:sz w:val="18"/>
      <w:szCs w:val="18"/>
    </w:rPr>
  </w:style>
  <w:style w:type="character" w:customStyle="1" w:styleId="14">
    <w:name w:val="正文文本 Char"/>
    <w:basedOn w:val="9"/>
    <w:link w:val="3"/>
    <w:qFormat/>
    <w:uiPriority w:val="0"/>
    <w:rPr>
      <w:rFonts w:ascii="Times New Roman" w:hAnsi="Times New Roman" w:eastAsia="楷体_GB2312" w:cs="Times New Roman"/>
      <w:sz w:val="30"/>
      <w:szCs w:val="20"/>
    </w:rPr>
  </w:style>
  <w:style w:type="paragraph" w:styleId="15">
    <w:name w:val="List Paragraph"/>
    <w:basedOn w:val="1"/>
    <w:qFormat/>
    <w:uiPriority w:val="99"/>
    <w:pPr>
      <w:ind w:firstLine="420" w:firstLineChars="200"/>
    </w:pPr>
  </w:style>
  <w:style w:type="paragraph" w:styleId="16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customStyle="1" w:styleId="17">
    <w:name w:val="标题 1 Char"/>
    <w:basedOn w:val="9"/>
    <w:link w:val="2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8">
    <w:name w:val="纯文本 Char"/>
    <w:basedOn w:val="9"/>
    <w:semiHidden/>
    <w:qFormat/>
    <w:uiPriority w:val="99"/>
    <w:rPr>
      <w:rFonts w:ascii="宋体" w:hAnsi="Courier New" w:eastAsia="宋体" w:cs="Courier New"/>
      <w:szCs w:val="21"/>
    </w:rPr>
  </w:style>
  <w:style w:type="character" w:customStyle="1" w:styleId="19">
    <w:name w:val="纯文本 Char1"/>
    <w:link w:val="4"/>
    <w:qFormat/>
    <w:uiPriority w:val="0"/>
    <w:rPr>
      <w:rFonts w:ascii="宋体" w:hAnsi="Courier New" w:eastAsia="宋体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&#36164;&#26009;&#24211;\&#40857;&#33150;&#39033;&#30446;\87&#24120;&#26519;&#32929;&#20221;\&#24120;&#26519;&#25991;&#21270;&#23454;&#26045;\019&#25552;&#20132;&#25104;&#26524;\WORD+PPT&#27169;&#26495;\WORD&#27169;&#26495;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WORD模板.dotx</Template>
  <Company>http:/sdwm.org</Company>
  <Pages>3</Pages>
  <Words>241</Words>
  <Characters>1132</Characters>
  <Lines>17</Lines>
  <Paragraphs>4</Paragraphs>
  <TotalTime>1</TotalTime>
  <ScaleCrop>false</ScaleCrop>
  <LinksUpToDate>false</LinksUpToDate>
  <CharactersWithSpaces>1251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2023-01-09T01:06:00Z</dcterms:created>
  <dc:creator>Think</dc:creator>
  <cp:lastModifiedBy>HP</cp:lastModifiedBy>
  <dcterms:modified xsi:type="dcterms:W3CDTF">2023-06-16T02:21:21Z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F207B0E651CA4B59BC1330CB2F8D7636_13</vt:lpwstr>
  </property>
</Properties>
</file>